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9606" w:type="dxa"/>
        <w:tblInd w:w="108" w:type="dxa"/>
        <w:tblLayout w:type="fixed"/>
        <w:tblLook w:val="04A0"/>
      </w:tblPr>
      <w:tblGrid>
        <w:gridCol w:w="4804"/>
        <w:gridCol w:w="4802"/>
      </w:tblGrid>
      <w:tr w:rsidR="00285349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349" w:rsidRDefault="0015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349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285349" w:rsidRDefault="0028534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285349" w:rsidRDefault="00154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285349" w:rsidRDefault="00154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285349" w:rsidRDefault="001547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285349" w:rsidRDefault="00285349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285349" w:rsidRDefault="00285349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285349" w:rsidRDefault="0015474F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ХАКАС РЕСПУБЛИКАНЫ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285349" w:rsidRDefault="0015474F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/>
                <w:b/>
              </w:rPr>
              <w:t>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БАН ПИЛТ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</w:rPr>
              <w:t>Р</w:t>
            </w:r>
            <w:r>
              <w:rPr>
                <w:rFonts w:ascii="Times New Roman Hak" w:eastAsia="Calibri" w:hAnsi="Times New Roman Hak"/>
                <w:b/>
                <w:lang w:val="en-US"/>
              </w:rPr>
              <w:t>I</w:t>
            </w:r>
          </w:p>
          <w:p w:rsidR="00285349" w:rsidRDefault="0015474F">
            <w:pPr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  <w:r>
              <w:rPr>
                <w:rFonts w:ascii="Times New Roman Hak" w:eastAsia="Calibri" w:hAnsi="Times New Roman Hak" w:cs="Times New Roman"/>
                <w:b/>
              </w:rPr>
              <w:t xml:space="preserve">МУНИЦИПАЛЬНАЙ </w:t>
            </w:r>
            <w:r>
              <w:rPr>
                <w:rFonts w:ascii="Times New Roman Hak" w:eastAsia="Calibri" w:hAnsi="Times New Roman Hak"/>
                <w:b/>
              </w:rPr>
              <w:t>АЙМААНЫ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Y</w:t>
            </w:r>
            <w:proofErr w:type="gramEnd"/>
          </w:p>
          <w:p w:rsidR="00285349" w:rsidRDefault="0015474F">
            <w:pPr>
              <w:spacing w:after="0" w:line="240" w:lineRule="auto"/>
              <w:jc w:val="center"/>
              <w:rPr>
                <w:szCs w:val="26"/>
                <w:lang w:eastAsia="ru-RU"/>
              </w:rPr>
            </w:pPr>
            <w:r>
              <w:rPr>
                <w:rFonts w:ascii="Times New Roman Hak" w:eastAsia="Calibri" w:hAnsi="Times New Roman Hak"/>
                <w:b/>
              </w:rPr>
              <w:t>УСТА</w:t>
            </w:r>
            <w:proofErr w:type="gramStart"/>
            <w:r>
              <w:rPr>
                <w:rFonts w:ascii="Times New Roman Hak" w:eastAsia="Calibri" w:hAnsi="Times New Roman Hak"/>
                <w:b/>
                <w:lang w:val="en-US"/>
              </w:rPr>
              <w:t>U</w:t>
            </w:r>
            <w:proofErr w:type="gramEnd"/>
            <w:r>
              <w:rPr>
                <w:rFonts w:ascii="Times New Roman Hak" w:eastAsia="Calibri" w:hAnsi="Times New Roman Hak"/>
                <w:b/>
              </w:rPr>
              <w:t>-ПАСТАА</w:t>
            </w:r>
          </w:p>
        </w:tc>
      </w:tr>
      <w:tr w:rsidR="00285349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349" w:rsidRDefault="001547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С Т А Н О В Л Е Н И Е</w:t>
            </w:r>
          </w:p>
        </w:tc>
      </w:tr>
      <w:tr w:rsidR="00285349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285349" w:rsidRDefault="0015474F">
            <w:pPr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285349" w:rsidRDefault="0015474F">
            <w:pPr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124 -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285349" w:rsidRDefault="0015474F">
      <w:pPr>
        <w:widowControl w:val="0"/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proofErr w:type="spellStart"/>
      <w:r>
        <w:rPr>
          <w:rFonts w:ascii="PT Astra Serif" w:eastAsia="Microsoft Sans Serif" w:hAnsi="PT Astra Serif" w:cs="Times New Roman"/>
          <w:color w:val="000000"/>
          <w:sz w:val="24"/>
          <w:szCs w:val="24"/>
          <w:lang w:eastAsia="ru-RU" w:bidi="ru-RU"/>
        </w:rPr>
        <w:t>рп</w:t>
      </w:r>
      <w:proofErr w:type="spellEnd"/>
      <w:r>
        <w:rPr>
          <w:rFonts w:ascii="PT Astra Serif" w:eastAsia="Microsoft Sans Serif" w:hAnsi="PT Astra Serif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285349" w:rsidRDefault="00285349">
      <w:pPr>
        <w:widowControl w:val="0"/>
        <w:spacing w:after="0" w:line="240" w:lineRule="auto"/>
        <w:rPr>
          <w:rFonts w:ascii="PT Astra Serif" w:eastAsia="Microsoft Sans Serif" w:hAnsi="PT Astra Serif" w:cs="Times New Roman"/>
          <w:color w:val="000000"/>
          <w:sz w:val="26"/>
          <w:szCs w:val="26"/>
          <w:lang w:eastAsia="ru-RU" w:bidi="ru-RU"/>
        </w:rPr>
      </w:pPr>
    </w:p>
    <w:p w:rsidR="00285349" w:rsidRDefault="0015474F">
      <w:pPr>
        <w:tabs>
          <w:tab w:val="left" w:pos="4365"/>
        </w:tabs>
        <w:spacing w:after="0" w:line="240" w:lineRule="auto"/>
        <w:ind w:right="4535"/>
        <w:jc w:val="both"/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Усть</w:t>
      </w:r>
      <w:proofErr w:type="spellEnd"/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–Абаканского района от 13.11.2014 № 2168-п «Об утверждении Положения по оплате труда работников методического кабинета управления культуры, молодежной политики, спорта и туризма администрации Усть-Абак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анского района»  </w:t>
      </w:r>
    </w:p>
    <w:p w:rsidR="00285349" w:rsidRDefault="00285349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285349" w:rsidRDefault="00285349">
      <w:pPr>
        <w:widowControl w:val="0"/>
        <w:spacing w:after="0" w:line="240" w:lineRule="auto"/>
        <w:ind w:left="709" w:hanging="709"/>
        <w:jc w:val="center"/>
        <w:rPr>
          <w:rFonts w:ascii="PT Astra Serif" w:hAnsi="PT Astra Serif" w:cs="Times New Roman"/>
          <w:sz w:val="26"/>
          <w:szCs w:val="26"/>
          <w:lang w:bidi="ru-RU"/>
        </w:rPr>
      </w:pPr>
    </w:p>
    <w:p w:rsidR="00285349" w:rsidRDefault="0015474F">
      <w:pPr>
        <w:pStyle w:val="a9"/>
        <w:spacing w:after="0" w:line="360" w:lineRule="auto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>В соответствии со статьями 135, 144 Трудового кодекса Российской Федерации, руководствуясь статьей 66 Устава Усть-Абаканского муниципального района Республики Хакасия, Администрация                      Усть-Абаканского муниципального района Республики Хак</w:t>
      </w:r>
      <w:r>
        <w:rPr>
          <w:rFonts w:ascii="PT Astra Serif" w:hAnsi="PT Astra Serif"/>
          <w:sz w:val="28"/>
          <w:szCs w:val="28"/>
        </w:rPr>
        <w:t xml:space="preserve">асия </w:t>
      </w:r>
    </w:p>
    <w:p w:rsidR="00285349" w:rsidRDefault="0015474F">
      <w:pPr>
        <w:pStyle w:val="a9"/>
        <w:spacing w:after="0" w:line="360" w:lineRule="auto"/>
        <w:contextualSpacing/>
        <w:jc w:val="both"/>
      </w:pPr>
      <w:r>
        <w:rPr>
          <w:rFonts w:ascii="PT Astra Serif" w:hAnsi="PT Astra Serif"/>
          <w:sz w:val="28"/>
          <w:szCs w:val="28"/>
        </w:rPr>
        <w:t>ПОСТАНОВЛЯЕТ:</w:t>
      </w:r>
    </w:p>
    <w:p w:rsidR="00285349" w:rsidRDefault="0015474F">
      <w:pPr>
        <w:pStyle w:val="a9"/>
        <w:spacing w:after="0" w:line="360" w:lineRule="auto"/>
        <w:ind w:firstLine="737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Положение по оплате труда 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работников методического кабинета Управления культуры, молодежной политики, спорта и туризма администрации Усть-Абаканского района Республики Хакасия</w:t>
      </w:r>
      <w:r>
        <w:rPr>
          <w:rFonts w:ascii="PT Astra Serif" w:hAnsi="PT Astra Serif"/>
          <w:sz w:val="28"/>
          <w:szCs w:val="28"/>
        </w:rPr>
        <w:t>, утвержденное постановлением администрации Усть-</w:t>
      </w:r>
      <w:r>
        <w:rPr>
          <w:rFonts w:ascii="PT Astra Serif" w:hAnsi="PT Astra Serif"/>
          <w:sz w:val="28"/>
          <w:szCs w:val="28"/>
        </w:rPr>
        <w:t xml:space="preserve">Абаканского района 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от 13.11.2014         № 2168-п «Об утверждении Положения по оплате труда работников методического кабинета управления культуры, молодежной политики, спорта и туризма администрации Усть-Абаканского района» (с последующими изменениями) сле</w:t>
      </w: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>дующие</w:t>
      </w:r>
      <w:r>
        <w:rPr>
          <w:rFonts w:ascii="PT Astra Serif" w:hAnsi="PT Astra Serif"/>
          <w:sz w:val="28"/>
          <w:szCs w:val="28"/>
        </w:rPr>
        <w:t xml:space="preserve"> изменения:</w:t>
      </w:r>
      <w:proofErr w:type="gramEnd"/>
    </w:p>
    <w:p w:rsidR="00285349" w:rsidRDefault="0015474F">
      <w:pPr>
        <w:pStyle w:val="a9"/>
        <w:spacing w:after="0" w:line="360" w:lineRule="auto"/>
        <w:ind w:firstLine="737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1.1 </w:t>
      </w:r>
      <w:r>
        <w:rPr>
          <w:rFonts w:ascii="PT Astra Serif" w:eastAsia="Calibri" w:hAnsi="PT Astra Serif"/>
          <w:sz w:val="28"/>
          <w:szCs w:val="28"/>
        </w:rPr>
        <w:t>пункт 2.4 раздела 2 изложить в следующей редакции:</w:t>
      </w:r>
    </w:p>
    <w:p w:rsidR="00285349" w:rsidRDefault="0015474F">
      <w:pPr>
        <w:pStyle w:val="ConsPlusNormal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«2.4. Размеры базовых окладов (базовых должностных окладов) и повышающих коэффициентов по квалификационному уровню работников:</w:t>
      </w:r>
    </w:p>
    <w:p w:rsidR="00285349" w:rsidRDefault="00285349">
      <w:pPr>
        <w:pStyle w:val="ConsPlusNormal"/>
        <w:spacing w:line="360" w:lineRule="auto"/>
        <w:ind w:firstLine="709"/>
        <w:contextualSpacing/>
        <w:jc w:val="both"/>
        <w:rPr>
          <w:sz w:val="12"/>
          <w:szCs w:val="12"/>
        </w:rPr>
      </w:pPr>
    </w:p>
    <w:tbl>
      <w:tblPr>
        <w:tblW w:w="9570" w:type="dxa"/>
        <w:tblInd w:w="11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156"/>
        <w:gridCol w:w="3902"/>
        <w:gridCol w:w="512"/>
      </w:tblGrid>
      <w:tr w:rsidR="00285349"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>Должность, отнесенная к квалификационному уровню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>Повыша</w:t>
            </w:r>
            <w:r>
              <w:rPr>
                <w:rFonts w:ascii="PT Astra Serif" w:eastAsia="Calibri" w:hAnsi="PT Astra Serif" w:cs="Times New Roman"/>
                <w:bCs/>
                <w:sz w:val="26"/>
                <w:szCs w:val="26"/>
              </w:rPr>
              <w:t>ющий коэффициент</w:t>
            </w:r>
          </w:p>
        </w:tc>
        <w:tc>
          <w:tcPr>
            <w:tcW w:w="512" w:type="dxa"/>
            <w:vMerge w:val="restart"/>
          </w:tcPr>
          <w:p w:rsidR="00285349" w:rsidRDefault="00285349">
            <w:pPr>
              <w:pStyle w:val="a9"/>
              <w:spacing w:after="0"/>
              <w:contextualSpacing/>
              <w:rPr>
                <w:rFonts w:ascii="PT Astra Serif" w:eastAsia="Calibri" w:hAnsi="PT Astra Serif"/>
                <w:sz w:val="26"/>
                <w:szCs w:val="26"/>
              </w:rPr>
            </w:pPr>
          </w:p>
          <w:p w:rsidR="00285349" w:rsidRDefault="00285349">
            <w:pPr>
              <w:pStyle w:val="a9"/>
              <w:spacing w:after="0"/>
              <w:contextualSpacing/>
              <w:rPr>
                <w:rFonts w:ascii="PT Astra Serif" w:eastAsia="Calibri" w:hAnsi="PT Astra Serif"/>
                <w:sz w:val="26"/>
                <w:szCs w:val="26"/>
              </w:rPr>
            </w:pPr>
          </w:p>
          <w:p w:rsidR="00285349" w:rsidRDefault="00285349">
            <w:pPr>
              <w:pStyle w:val="a9"/>
              <w:spacing w:after="0"/>
              <w:contextualSpacing/>
              <w:rPr>
                <w:rFonts w:ascii="PT Astra Serif" w:eastAsia="Calibri" w:hAnsi="PT Astra Serif"/>
                <w:sz w:val="26"/>
                <w:szCs w:val="26"/>
              </w:rPr>
            </w:pPr>
          </w:p>
          <w:p w:rsidR="00285349" w:rsidRDefault="00285349">
            <w:pPr>
              <w:pStyle w:val="a9"/>
              <w:spacing w:after="0"/>
              <w:contextualSpacing/>
              <w:rPr>
                <w:rFonts w:ascii="PT Astra Serif" w:eastAsia="Calibri" w:hAnsi="PT Astra Serif"/>
                <w:sz w:val="26"/>
                <w:szCs w:val="26"/>
              </w:rPr>
            </w:pPr>
          </w:p>
          <w:p w:rsidR="00285349" w:rsidRDefault="00285349">
            <w:pPr>
              <w:pStyle w:val="a9"/>
              <w:spacing w:after="0"/>
              <w:contextualSpacing/>
              <w:rPr>
                <w:rFonts w:ascii="PT Astra Serif" w:eastAsia="Calibri" w:hAnsi="PT Astra Serif"/>
                <w:sz w:val="26"/>
                <w:szCs w:val="26"/>
              </w:rPr>
            </w:pPr>
          </w:p>
          <w:p w:rsidR="00285349" w:rsidRDefault="00285349">
            <w:pPr>
              <w:pStyle w:val="a9"/>
              <w:spacing w:after="0"/>
              <w:contextualSpacing/>
              <w:rPr>
                <w:rFonts w:ascii="PT Astra Serif" w:eastAsia="Calibri" w:hAnsi="PT Astra Serif"/>
                <w:bCs/>
                <w:sz w:val="26"/>
                <w:szCs w:val="26"/>
              </w:rPr>
            </w:pPr>
          </w:p>
        </w:tc>
      </w:tr>
      <w:tr w:rsidR="00285349">
        <w:tc>
          <w:tcPr>
            <w:tcW w:w="9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349" w:rsidRDefault="0015474F">
            <w:pPr>
              <w:pStyle w:val="ad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1. 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512" w:type="dxa"/>
            <w:vMerge/>
          </w:tcPr>
          <w:p w:rsidR="00285349" w:rsidRDefault="00285349">
            <w:pPr>
              <w:pStyle w:val="ad"/>
              <w:spacing w:after="0"/>
              <w:ind w:left="0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285349">
        <w:tc>
          <w:tcPr>
            <w:tcW w:w="9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ind w:firstLine="709"/>
              <w:contextualSpacing/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6"/>
                <w:szCs w:val="26"/>
              </w:rPr>
              <w:t>Базовый оклад (базовый должностной оклад) – 14 585,00 рублей</w:t>
            </w:r>
          </w:p>
        </w:tc>
        <w:tc>
          <w:tcPr>
            <w:tcW w:w="512" w:type="dxa"/>
            <w:vMerge/>
          </w:tcPr>
          <w:p w:rsidR="00285349" w:rsidRDefault="00285349">
            <w:pPr>
              <w:spacing w:after="0"/>
              <w:ind w:firstLine="709"/>
              <w:contextualSpacing/>
              <w:jc w:val="both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</w:p>
        </w:tc>
      </w:tr>
      <w:tr w:rsidR="00285349">
        <w:trPr>
          <w:trHeight w:val="335"/>
        </w:trPr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contextualSpacing/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6"/>
                <w:szCs w:val="26"/>
              </w:rPr>
              <w:t>Заведующая методическим кабинетом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ind w:firstLine="709"/>
              <w:contextualSpacing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6"/>
                <w:szCs w:val="26"/>
              </w:rPr>
              <w:t>1,00-2,07</w:t>
            </w:r>
          </w:p>
        </w:tc>
        <w:tc>
          <w:tcPr>
            <w:tcW w:w="512" w:type="dxa"/>
            <w:vMerge/>
          </w:tcPr>
          <w:p w:rsidR="00285349" w:rsidRDefault="00285349">
            <w:pPr>
              <w:spacing w:after="0"/>
              <w:ind w:firstLine="709"/>
              <w:contextualSpacing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</w:p>
        </w:tc>
      </w:tr>
      <w:tr w:rsidR="00285349">
        <w:trPr>
          <w:trHeight w:val="764"/>
        </w:trPr>
        <w:tc>
          <w:tcPr>
            <w:tcW w:w="9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349" w:rsidRDefault="0015474F">
            <w:pPr>
              <w:pStyle w:val="ad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6"/>
                <w:szCs w:val="26"/>
              </w:rPr>
              <w:t>2. Профессиональная квалификационная группа «Должности работников культуры, искусства и кинематографии»</w:t>
            </w:r>
          </w:p>
        </w:tc>
        <w:tc>
          <w:tcPr>
            <w:tcW w:w="512" w:type="dxa"/>
          </w:tcPr>
          <w:p w:rsidR="00285349" w:rsidRDefault="00285349">
            <w:pPr>
              <w:shd w:val="clear" w:color="auto" w:fill="FFFFFF"/>
              <w:spacing w:after="0"/>
              <w:ind w:right="-144" w:firstLine="709"/>
              <w:contextualSpacing/>
              <w:jc w:val="both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</w:p>
          <w:p w:rsidR="00285349" w:rsidRDefault="00285349">
            <w:pPr>
              <w:pStyle w:val="a9"/>
              <w:spacing w:after="0"/>
              <w:contextualSpacing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</w:p>
        </w:tc>
      </w:tr>
      <w:tr w:rsidR="00285349">
        <w:tc>
          <w:tcPr>
            <w:tcW w:w="9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ind w:firstLine="709"/>
              <w:contextualSpacing/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6"/>
                <w:szCs w:val="26"/>
              </w:rPr>
              <w:t>Базовый оклад (базовый должностной оклад) — 12 209,00 рубля</w:t>
            </w:r>
          </w:p>
        </w:tc>
        <w:tc>
          <w:tcPr>
            <w:tcW w:w="512" w:type="dxa"/>
          </w:tcPr>
          <w:p w:rsidR="00285349" w:rsidRDefault="00285349">
            <w:pPr>
              <w:spacing w:after="0"/>
              <w:ind w:firstLine="709"/>
              <w:contextualSpacing/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</w:rPr>
            </w:pPr>
          </w:p>
        </w:tc>
      </w:tr>
      <w:tr w:rsidR="00285349">
        <w:trPr>
          <w:trHeight w:val="361"/>
        </w:trPr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contextualSpacing/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349" w:rsidRDefault="0015474F">
            <w:pPr>
              <w:spacing w:after="0" w:line="240" w:lineRule="auto"/>
              <w:ind w:firstLine="709"/>
              <w:contextualSpacing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6"/>
                <w:szCs w:val="26"/>
              </w:rPr>
              <w:t>1,05-2,16</w:t>
            </w:r>
          </w:p>
        </w:tc>
        <w:tc>
          <w:tcPr>
            <w:tcW w:w="512" w:type="dxa"/>
          </w:tcPr>
          <w:p w:rsidR="00285349" w:rsidRDefault="0015474F">
            <w:pPr>
              <w:pStyle w:val="a9"/>
              <w:spacing w:after="0"/>
              <w:contextualSpacing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»;</w:t>
            </w:r>
          </w:p>
        </w:tc>
      </w:tr>
    </w:tbl>
    <w:p w:rsidR="00285349" w:rsidRDefault="00285349">
      <w:pPr>
        <w:spacing w:after="0" w:line="360" w:lineRule="auto"/>
        <w:ind w:firstLine="709"/>
        <w:contextualSpacing/>
        <w:jc w:val="both"/>
      </w:pPr>
    </w:p>
    <w:p w:rsidR="00285349" w:rsidRDefault="0015474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 </w:t>
      </w:r>
      <w:r>
        <w:rPr>
          <w:rFonts w:ascii="PT Astra Serif" w:eastAsia="Calibri" w:hAnsi="PT Astra Serif"/>
          <w:sz w:val="28"/>
          <w:szCs w:val="28"/>
        </w:rPr>
        <w:t xml:space="preserve">пункт 5.2 раздела 5 изложить в следующей </w:t>
      </w:r>
      <w:r>
        <w:rPr>
          <w:rFonts w:ascii="PT Astra Serif" w:eastAsia="Calibri" w:hAnsi="PT Astra Serif"/>
          <w:sz w:val="28"/>
          <w:szCs w:val="28"/>
        </w:rPr>
        <w:t>редакции:</w:t>
      </w:r>
    </w:p>
    <w:p w:rsidR="00285349" w:rsidRDefault="0015474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«5.2. </w:t>
      </w:r>
      <w:proofErr w:type="gramStart"/>
      <w:r>
        <w:rPr>
          <w:rFonts w:ascii="PT Astra Serif" w:hAnsi="PT Astra Serif"/>
          <w:sz w:val="28"/>
          <w:szCs w:val="28"/>
        </w:rPr>
        <w:t xml:space="preserve">При формировании фонда оплаты труда работников  предусматриваются средства для выплаты (в расчете на год) окладов (должностных окладов), выплат (надбавок) стимулирующего характера,  выплат компенсационного характера и иных выплат (доплат), </w:t>
      </w:r>
      <w:r>
        <w:rPr>
          <w:rFonts w:ascii="PT Astra Serif" w:hAnsi="PT Astra Serif"/>
          <w:sz w:val="28"/>
          <w:szCs w:val="28"/>
        </w:rPr>
        <w:t>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 нормативными правовыми актами Администрации Усть-Абаканского муниципального района Республи</w:t>
      </w:r>
      <w:r>
        <w:rPr>
          <w:rFonts w:ascii="PT Astra Serif" w:hAnsi="PT Astra Serif"/>
          <w:sz w:val="28"/>
          <w:szCs w:val="28"/>
        </w:rPr>
        <w:t>ки Хакасия, в размере 48,6 базового оклада</w:t>
      </w:r>
      <w:proofErr w:type="gramEnd"/>
      <w:r>
        <w:rPr>
          <w:rFonts w:ascii="PT Astra Serif" w:hAnsi="PT Astra Serif"/>
          <w:sz w:val="28"/>
          <w:szCs w:val="28"/>
        </w:rPr>
        <w:t xml:space="preserve"> (базовых должностных окладов)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285349" w:rsidRDefault="0015474F">
      <w:pPr>
        <w:spacing w:after="0" w:line="360" w:lineRule="auto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 w:cs="Times New Roman"/>
          <w:sz w:val="28"/>
          <w:szCs w:val="28"/>
        </w:rPr>
        <w:t xml:space="preserve">Настоящее постановление вступает в силу после </w:t>
      </w:r>
      <w:r>
        <w:rPr>
          <w:rFonts w:ascii="PT Astra Serif" w:hAnsi="PT Astra Serif" w:cs="Times New Roman"/>
          <w:sz w:val="28"/>
          <w:szCs w:val="28"/>
        </w:rPr>
        <w:t>официального опубликования и распространяется на правоотношения, возникшие                       с 01.01.2026</w:t>
      </w:r>
      <w:r>
        <w:rPr>
          <w:rFonts w:ascii="PT Astra Serif" w:hAnsi="PT Astra Serif"/>
          <w:sz w:val="28"/>
          <w:szCs w:val="28"/>
        </w:rPr>
        <w:t>.</w:t>
      </w:r>
    </w:p>
    <w:p w:rsidR="00285349" w:rsidRDefault="0015474F">
      <w:pPr>
        <w:spacing w:after="0" w:line="360" w:lineRule="auto"/>
        <w:ind w:firstLine="709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3. Управляющему делами Администрации Усть-Абаканского муниципального района Республики Хакасия 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proofErr w:type="spellStart"/>
      <w:r>
        <w:rPr>
          <w:rFonts w:ascii="PT Astra Serif" w:hAnsi="PT Astra Serif" w:cs="Times New Roman"/>
          <w:sz w:val="28"/>
          <w:szCs w:val="28"/>
        </w:rPr>
        <w:t>Лемытская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О.В.)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постановление </w:t>
      </w:r>
      <w:r>
        <w:rPr>
          <w:rFonts w:ascii="PT Astra Serif" w:hAnsi="PT Astra Serif" w:cs="Times New Roman"/>
          <w:sz w:val="28"/>
          <w:szCs w:val="28"/>
        </w:rPr>
        <w:t>на официальном сайте Администрации                  Усть-Абаканского муниципального района Республики Хакаси</w:t>
      </w:r>
      <w:r>
        <w:rPr>
          <w:rFonts w:ascii="PT Astra Serif" w:hAnsi="PT Astra Serif" w:cs="Times New Roman"/>
          <w:sz w:val="28"/>
          <w:szCs w:val="28"/>
        </w:rPr>
        <w:t>я в сети Интернет.</w:t>
      </w:r>
    </w:p>
    <w:p w:rsidR="00285349" w:rsidRDefault="0015474F">
      <w:pPr>
        <w:spacing w:after="0" w:line="360" w:lineRule="auto"/>
        <w:ind w:firstLine="709"/>
        <w:contextualSpacing/>
        <w:jc w:val="both"/>
      </w:pPr>
      <w:r>
        <w:rPr>
          <w:rFonts w:ascii="PT Astra Serif" w:hAnsi="PT Astra Serif" w:cs="Times New Roman"/>
          <w:sz w:val="28"/>
          <w:szCs w:val="28"/>
        </w:rPr>
        <w:lastRenderedPageBreak/>
        <w:t>4. Главному редактору МАУ «Редакция газеты «</w:t>
      </w:r>
      <w:proofErr w:type="spellStart"/>
      <w:r>
        <w:rPr>
          <w:rFonts w:ascii="PT Astra Serif" w:hAnsi="PT Astra Serif" w:cs="Times New Roman"/>
          <w:sz w:val="28"/>
          <w:szCs w:val="28"/>
        </w:rPr>
        <w:t>Усть-Абаканские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известия» (Церковная И.Ю.) опубликовать </w:t>
      </w:r>
      <w:r>
        <w:rPr>
          <w:rFonts w:ascii="PT Astra Serif" w:hAnsi="PT Astra Serif" w:cs="Times New Roman"/>
          <w:sz w:val="28"/>
          <w:szCs w:val="28"/>
        </w:rPr>
        <w:t>настоящее</w:t>
      </w:r>
      <w:r>
        <w:rPr>
          <w:rFonts w:ascii="PT Astra Serif" w:hAnsi="PT Astra Serif" w:cs="Times New Roman"/>
          <w:sz w:val="28"/>
          <w:szCs w:val="28"/>
        </w:rPr>
        <w:t xml:space="preserve"> постановление в газете «</w:t>
      </w:r>
      <w:proofErr w:type="spellStart"/>
      <w:r>
        <w:rPr>
          <w:rFonts w:ascii="PT Astra Serif" w:hAnsi="PT Astra Serif" w:cs="Times New Roman"/>
          <w:sz w:val="28"/>
          <w:szCs w:val="28"/>
        </w:rPr>
        <w:t>Усть-Абаканские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известия официальные».</w:t>
      </w:r>
    </w:p>
    <w:p w:rsidR="00285349" w:rsidRDefault="0015474F">
      <w:pPr>
        <w:spacing w:after="0" w:line="360" w:lineRule="auto"/>
        <w:ind w:firstLine="709"/>
        <w:contextualSpacing/>
        <w:jc w:val="both"/>
      </w:pPr>
      <w:r>
        <w:rPr>
          <w:rFonts w:ascii="PT Astra Serif" w:eastAsia="Microsoft Sans Serif" w:hAnsi="PT Astra Serif" w:cs="Times New Roman"/>
          <w:color w:val="000000"/>
          <w:sz w:val="28"/>
          <w:szCs w:val="28"/>
          <w:lang w:eastAsia="ru-RU" w:bidi="ru-RU"/>
        </w:rPr>
        <w:t xml:space="preserve">5. </w:t>
      </w:r>
      <w:proofErr w:type="gramStart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возложить   </w:t>
      </w:r>
      <w:r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на Павленко С.В. – исполняющего обязанности заместителя Главы Администрации Усть-Абаканского муниципального района Республики Хакасия по социальным вопросам.</w:t>
      </w:r>
    </w:p>
    <w:p w:rsidR="00285349" w:rsidRDefault="00285349">
      <w:pPr>
        <w:spacing w:after="0"/>
        <w:ind w:firstLine="709"/>
        <w:contextualSpacing/>
        <w:jc w:val="both"/>
        <w:rPr>
          <w:rFonts w:ascii="PT Astra Serif" w:eastAsia="Times New Roman CYR" w:hAnsi="PT Astra Serif" w:cs="Times New Roman"/>
          <w:color w:val="000000"/>
          <w:sz w:val="28"/>
          <w:szCs w:val="28"/>
          <w:lang w:eastAsia="ru-RU" w:bidi="ru-RU"/>
        </w:rPr>
      </w:pPr>
    </w:p>
    <w:p w:rsidR="00285349" w:rsidRDefault="00285349">
      <w:pPr>
        <w:spacing w:after="0"/>
        <w:ind w:firstLine="709"/>
        <w:contextualSpacing/>
        <w:jc w:val="both"/>
        <w:rPr>
          <w:rFonts w:eastAsia="Times New Roman CYR" w:cs="Times New Roman"/>
          <w:color w:val="000000"/>
          <w:sz w:val="28"/>
          <w:szCs w:val="28"/>
          <w:lang w:eastAsia="ru-RU" w:bidi="ru-RU"/>
        </w:rPr>
      </w:pPr>
    </w:p>
    <w:p w:rsidR="00285349" w:rsidRDefault="00285349">
      <w:pPr>
        <w:spacing w:after="0"/>
        <w:ind w:firstLine="709"/>
        <w:contextualSpacing/>
        <w:jc w:val="both"/>
        <w:rPr>
          <w:rFonts w:eastAsia="Times New Roman CYR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Ind w:w="108" w:type="dxa"/>
        <w:tblLayout w:type="fixed"/>
        <w:tblLook w:val="0000"/>
      </w:tblPr>
      <w:tblGrid>
        <w:gridCol w:w="6096"/>
        <w:gridCol w:w="3368"/>
      </w:tblGrid>
      <w:tr w:rsidR="00285349">
        <w:tc>
          <w:tcPr>
            <w:tcW w:w="6095" w:type="dxa"/>
            <w:shd w:val="clear" w:color="auto" w:fill="auto"/>
          </w:tcPr>
          <w:p w:rsidR="00285349" w:rsidRDefault="0015474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85349" w:rsidRDefault="0015474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285349" w:rsidRDefault="00285349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85349" w:rsidRDefault="0015474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Е.В. Егорова</w:t>
            </w:r>
          </w:p>
        </w:tc>
      </w:tr>
      <w:tr w:rsidR="00285349">
        <w:trPr>
          <w:trHeight w:hRule="exact" w:val="1701"/>
        </w:trPr>
        <w:tc>
          <w:tcPr>
            <w:tcW w:w="9463" w:type="dxa"/>
            <w:gridSpan w:val="2"/>
            <w:shd w:val="clear" w:color="auto" w:fill="auto"/>
          </w:tcPr>
          <w:p w:rsidR="00285349" w:rsidRDefault="00285349">
            <w:pPr>
              <w:spacing w:after="0" w:line="240" w:lineRule="auto"/>
              <w:ind w:left="3119"/>
              <w:rPr>
                <w:rFonts w:ascii="PT Astra Serif" w:hAnsi="PT Astra Serif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285349" w:rsidRDefault="00285349">
      <w:pPr>
        <w:spacing w:line="240" w:lineRule="auto"/>
        <w:rPr>
          <w:rFonts w:ascii="PT Astra Serif" w:hAnsi="PT Astra Serif" w:cs="Times New Roman"/>
          <w:sz w:val="26"/>
          <w:szCs w:val="26"/>
        </w:rPr>
      </w:pPr>
    </w:p>
    <w:sectPr w:rsidR="00285349" w:rsidSect="00285349">
      <w:pgSz w:w="11906" w:h="16838"/>
      <w:pgMar w:top="1215" w:right="740" w:bottom="105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285349"/>
    <w:rsid w:val="0015474F"/>
    <w:rsid w:val="0028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617B40"/>
  </w:style>
  <w:style w:type="character" w:customStyle="1" w:styleId="a6">
    <w:name w:val="Нижний колонтитул Знак"/>
    <w:basedOn w:val="a0"/>
    <w:link w:val="Footer"/>
    <w:uiPriority w:val="99"/>
    <w:qFormat/>
    <w:rsid w:val="00617B40"/>
  </w:style>
  <w:style w:type="character" w:styleId="a7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28534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285349"/>
    <w:pPr>
      <w:spacing w:after="140"/>
    </w:pPr>
  </w:style>
  <w:style w:type="paragraph" w:styleId="aa">
    <w:name w:val="List"/>
    <w:basedOn w:val="a9"/>
    <w:rsid w:val="00285349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8534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285349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285349"/>
  </w:style>
  <w:style w:type="paragraph" w:customStyle="1" w:styleId="Header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285349"/>
    <w:pPr>
      <w:widowControl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285349"/>
    <w:pPr>
      <w:ind w:left="720"/>
      <w:contextualSpacing/>
    </w:pPr>
    <w:rPr>
      <w:rFonts w:eastAsia="Calibri"/>
    </w:rPr>
  </w:style>
  <w:style w:type="paragraph" w:customStyle="1" w:styleId="ae">
    <w:name w:val="Содержимое таблицы"/>
    <w:basedOn w:val="a"/>
    <w:qFormat/>
    <w:rsid w:val="00285349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285349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Point-11</cp:lastModifiedBy>
  <cp:revision>35</cp:revision>
  <dcterms:created xsi:type="dcterms:W3CDTF">2025-02-17T09:22:00Z</dcterms:created>
  <dcterms:modified xsi:type="dcterms:W3CDTF">2026-02-24T06:51:00Z</dcterms:modified>
  <dc:language>ru-RU</dc:language>
</cp:coreProperties>
</file>