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7D146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9540" w:type="dxa"/>
        <w:tblInd w:w="108" w:type="dxa"/>
        <w:tblLayout w:type="fixed"/>
        <w:tblLook w:val="04A0"/>
      </w:tblPr>
      <w:tblGrid/>
      <w:tr>
        <w:tc>
          <w:tcPr>
            <w:tcW w:w="9540" w:type="dxa"/>
          </w:tcPr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  <w:r>
              <w:t xml:space="preserve">                                                             </w:t>
            </w:r>
          </w:p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  <w:r>
              <w:rPr>
                <w:noProof w:val="1"/>
              </w:rPr>
              <w:drawing>
                <wp:anchor xmlns:wp="http://schemas.openxmlformats.org/drawingml/2006/wordprocessingDrawing" simplePos="0" allowOverlap="1" behindDoc="1" layoutInCell="1" locked="0" relativeHeight="1" distL="114300" distR="114300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525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</w:p>
          <w:p>
            <w:pPr>
              <w:spacing w:lineRule="auto" w:line="276" w:beforeAutospacing="0" w:afterAutospacing="0"/>
            </w:pPr>
          </w:p>
          <w:p>
            <w:pPr>
              <w:spacing w:lineRule="auto" w:line="276" w:beforeAutospacing="0" w:afterAutospacing="0"/>
              <w:jc w:val="center"/>
            </w:pPr>
          </w:p>
        </w:tc>
      </w:tr>
      <w:tr>
        <w:tc>
          <w:tcPr>
            <w:tcW w:w="9540" w:type="dxa"/>
            <w:tcBorders>
              <w:top w:val="nil"/>
              <w:left w:val="nil"/>
              <w:bottom w:val="double" w:sz="18" w:space="0" w:shadow="0" w:frame="0" w:color="auto"/>
              <w:right w:val="nil"/>
            </w:tcBorders>
            <w:hideMark/>
          </w:tcPr>
          <w:p>
            <w:pPr>
              <w:spacing w:lineRule="auto" w:line="276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СОВЕТ ДЕПУТАТОВ УСТЬ-АБАКАНСКОГО РАЙОНА</w:t>
            </w:r>
          </w:p>
          <w:p>
            <w:pPr>
              <w:spacing w:lineRule="auto" w:line="276" w:beforeAutospacing="0" w:afterAutospacing="0"/>
              <w:jc w:val="center"/>
            </w:pPr>
            <w:r>
              <w:rPr>
                <w:b w:val="1"/>
              </w:rPr>
              <w:t>РЕСПУБЛИКИ ХАКАСИЯ</w:t>
            </w:r>
          </w:p>
        </w:tc>
      </w:tr>
    </w:tbl>
    <w:p>
      <w:pPr>
        <w:jc w:val="right"/>
        <w:rPr>
          <w:b w:val="1"/>
        </w:rPr>
      </w:pPr>
      <w:r>
        <w:t>ПРОЕКТ</w:t>
      </w:r>
    </w:p>
    <w:p>
      <w:pPr>
        <w:jc w:val="center"/>
        <w:rPr>
          <w:b w:val="1"/>
          <w:sz w:val="26"/>
        </w:rPr>
      </w:pPr>
    </w:p>
    <w:p>
      <w:pPr>
        <w:jc w:val="center"/>
        <w:rPr>
          <w:b w:val="1"/>
          <w:sz w:val="26"/>
        </w:rPr>
      </w:pPr>
    </w:p>
    <w:p>
      <w:pPr>
        <w:jc w:val="center"/>
        <w:rPr>
          <w:sz w:val="26"/>
        </w:rPr>
      </w:pPr>
      <w:r>
        <w:rPr>
          <w:b w:val="1"/>
          <w:sz w:val="26"/>
        </w:rPr>
        <w:t>Р Е Ш Е Н И Е</w:t>
      </w:r>
      <w:r>
        <w:rPr>
          <w:sz w:val="26"/>
        </w:rPr>
        <w:t xml:space="preserve"> </w:t>
      </w:r>
    </w:p>
    <w:p>
      <w:pPr>
        <w:jc w:val="center"/>
        <w:rPr>
          <w:b w:val="1"/>
          <w:sz w:val="26"/>
        </w:rPr>
      </w:pPr>
      <w:r>
        <w:rPr>
          <w:sz w:val="26"/>
        </w:rPr>
        <w:t>р.п. Усть-Абакан</w:t>
      </w:r>
    </w:p>
    <w:p>
      <w:pPr>
        <w:rPr>
          <w:b w:val="1"/>
          <w:sz w:val="26"/>
        </w:rPr>
      </w:pPr>
      <w:r>
        <w:rPr>
          <w:sz w:val="26"/>
        </w:rPr>
        <w:t xml:space="preserve">от  _________  2021 г.                                                                                        №  ______</w:t>
      </w:r>
    </w:p>
    <w:p>
      <w:pPr>
        <w:rPr>
          <w:b w:val="1"/>
          <w:sz w:val="26"/>
        </w:rPr>
      </w:pPr>
    </w:p>
    <w:p>
      <w:pPr>
        <w:jc w:val="center"/>
        <w:rPr>
          <w:sz w:val="26"/>
        </w:rPr>
      </w:pPr>
    </w:p>
    <w:p>
      <w:pPr>
        <w:jc w:val="center"/>
        <w:rPr>
          <w:sz w:val="26"/>
        </w:rPr>
      </w:pPr>
      <w:r>
        <w:rPr>
          <w:sz w:val="26"/>
        </w:rPr>
        <w:t>О принятии полномочий по решению вопросов местного значения</w:t>
      </w:r>
    </w:p>
    <w:p>
      <w:pPr>
        <w:jc w:val="both"/>
        <w:rPr>
          <w:sz w:val="26"/>
        </w:rPr>
      </w:pPr>
      <w:r>
        <w:rPr>
          <w:sz w:val="26"/>
        </w:rPr>
        <w:tab/>
      </w:r>
    </w:p>
    <w:p>
      <w:pPr>
        <w:ind w:firstLine="708"/>
        <w:jc w:val="both"/>
        <w:rPr>
          <w:sz w:val="26"/>
        </w:rPr>
      </w:pPr>
      <w:r>
        <w:rPr>
          <w:sz w:val="26"/>
        </w:rPr>
        <w:t xml:space="preserve">Рассмотрев ходатайство исполняющего обязанности Главы Усть-Абаканского района Республики Хакасия И.В. Белоуса, на основании части 4 статьи 15  Федерального закона от 06.10.2003 № 131-ФЗ «Об общих принципах организации местного самоуправления в Российской Федерации», части 3 статьи 5 Устава муниципального образования Усть-Абаканский район Республики Хакасия, в соответствии с 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 городского, сельских поселений Усть-Абаканского района о передаче/принятии части полномочий по решению вопросов местного значения, утвержденным решением Совета депутатов Усть-Абаканского района Республики Хакасия от 27.10.2016 № 62,</w:t>
      </w:r>
    </w:p>
    <w:p>
      <w:pPr>
        <w:ind w:firstLine="720"/>
        <w:jc w:val="both"/>
        <w:rPr>
          <w:sz w:val="26"/>
        </w:rPr>
      </w:pPr>
      <w:r>
        <w:rPr>
          <w:sz w:val="26"/>
        </w:rPr>
        <w:t xml:space="preserve">Совет депутатов Усть-Абаканского района Республики Хакасия </w:t>
      </w:r>
    </w:p>
    <w:p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РЕШИЛ:</w:t>
      </w:r>
    </w:p>
    <w:p>
      <w:pPr>
        <w:ind w:firstLine="708"/>
        <w:jc w:val="both"/>
        <w:rPr>
          <w:sz w:val="26"/>
        </w:rPr>
      </w:pPr>
      <w:r>
        <w:rPr>
          <w:sz w:val="26"/>
        </w:rPr>
        <w:t xml:space="preserve">1. Принять от органов местного самоуправления Доможаковского  сельсовета Усть-Абаканского района Республики Хакасия осуществление полномочий по решению вопросов местного 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Хакасия», в период с 01 января 2022 года до 30 апреля 2022 года в соответствии с условиями, предусмотренными ранее заключенным соглашением о передаче указанных полномочий, действующим до 31 декабря 2021 года.</w:t>
      </w:r>
    </w:p>
    <w:p>
      <w:pPr>
        <w:ind w:firstLine="708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 Настоящее решение вступает в силу со дня его принятия.</w:t>
      </w:r>
    </w:p>
    <w:p/>
    <w:p>
      <w:pPr>
        <w:spacing w:lineRule="exact" w:line="240" w:beforeAutospacing="0" w:afterAutospacing="0"/>
        <w:jc w:val="both"/>
        <w:rPr>
          <w:sz w:val="26"/>
        </w:rPr>
      </w:pPr>
    </w:p>
    <w:p>
      <w:pPr>
        <w:spacing w:lineRule="exact" w:line="240" w:beforeAutospacing="0" w:afterAutospacing="0"/>
        <w:jc w:val="both"/>
        <w:rPr>
          <w:sz w:val="26"/>
        </w:rPr>
      </w:pPr>
    </w:p>
    <w:p>
      <w:pPr>
        <w:spacing w:lineRule="exact" w:line="240" w:beforeAutospacing="0" w:afterAutospacing="0"/>
        <w:jc w:val="both"/>
        <w:rPr>
          <w:sz w:val="26"/>
        </w:rPr>
      </w:pPr>
      <w:r>
        <w:rPr>
          <w:sz w:val="26"/>
        </w:rPr>
        <w:t xml:space="preserve">Председатель Совета депутатов </w:t>
      </w:r>
    </w:p>
    <w:p>
      <w:pPr>
        <w:spacing w:lineRule="exact" w:line="240" w:beforeAutospacing="0" w:afterAutospacing="0"/>
        <w:jc w:val="both"/>
        <w:rPr>
          <w:sz w:val="26"/>
        </w:rPr>
      </w:pPr>
      <w:r>
        <w:rPr>
          <w:sz w:val="26"/>
        </w:rPr>
        <w:t xml:space="preserve">Усть-Абаканского района </w:t>
        <w:tab/>
        <w:tab/>
        <w:tab/>
        <w:tab/>
        <w:tab/>
        <w:tab/>
        <w:t xml:space="preserve">    В.М. Владимиров</w:t>
        <w:tab/>
        <w:tab/>
        <w:tab/>
        <w:t xml:space="preserve">        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