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92" w:rsidRDefault="00FA0404">
      <w:r>
        <w:rPr>
          <w:sz w:val="24"/>
        </w:rPr>
        <w:br/>
      </w:r>
    </w:p>
    <w:p w:rsidR="00880A92" w:rsidRDefault="00FA0404">
      <w:pPr>
        <w:jc w:val="center"/>
      </w:pPr>
      <w:r>
        <w:rPr>
          <w:b/>
          <w:sz w:val="28"/>
        </w:rPr>
        <w:t>Досрочные выборы Главы сельского поселения Расцветовского сельсовета Усть-Абаканского муниципального района Республики Хакасия</w:t>
      </w:r>
    </w:p>
    <w:p w:rsidR="00880A92" w:rsidRDefault="00FA0404">
      <w:pPr>
        <w:jc w:val="center"/>
      </w:pPr>
      <w:r>
        <w:rPr>
          <w:sz w:val="28"/>
        </w:rPr>
        <w:t>22 марта 2026 года</w:t>
      </w:r>
      <w:r>
        <w:rPr>
          <w:sz w:val="28"/>
        </w:rPr>
        <w:br/>
      </w:r>
    </w:p>
    <w:p w:rsidR="00880A92" w:rsidRDefault="00FA0404">
      <w:pPr>
        <w:jc w:val="center"/>
      </w:pPr>
      <w:r>
        <w:rPr>
          <w:b/>
          <w:sz w:val="32"/>
        </w:rPr>
        <w:t>ПРОТОКОЛ</w:t>
      </w:r>
    </w:p>
    <w:p w:rsidR="00880A92" w:rsidRDefault="00FA0404">
      <w:pPr>
        <w:jc w:val="center"/>
      </w:pPr>
      <w:r>
        <w:rPr>
          <w:sz w:val="28"/>
        </w:rPr>
        <w:t>территориальной избирательной комиссии Усть-Абаканского района о результатах выборов</w:t>
      </w:r>
      <w:r>
        <w:rPr>
          <w:sz w:val="28"/>
        </w:rPr>
        <w:br/>
      </w:r>
    </w:p>
    <w:tbl>
      <w:tblPr>
        <w:tblW w:w="5000" w:type="pct"/>
        <w:jc w:val="center"/>
        <w:tblLook w:val="04A0"/>
      </w:tblPr>
      <w:tblGrid>
        <w:gridCol w:w="9297"/>
        <w:gridCol w:w="1124"/>
      </w:tblGrid>
      <w:tr w:rsidR="00880A92">
        <w:trPr>
          <w:cantSplit/>
          <w:jc w:val="center"/>
        </w:trPr>
        <w:tc>
          <w:tcPr>
            <w:tcW w:w="9100" w:type="dxa"/>
            <w:noWrap/>
            <w:vAlign w:val="bottom"/>
          </w:tcPr>
          <w:p w:rsidR="00880A92" w:rsidRDefault="00FA0404">
            <w:pPr>
              <w:spacing w:before="120"/>
              <w:jc w:val="both"/>
            </w:pPr>
            <w:r>
              <w:rPr>
                <w:sz w:val="24"/>
              </w:rPr>
              <w:t>Количество участковых избирательных комиссий на соответствующей территории</w:t>
            </w:r>
          </w:p>
        </w:tc>
        <w:tc>
          <w:tcPr>
            <w:tcW w:w="1100" w:type="dxa"/>
            <w:noWrap/>
            <w:vAlign w:val="bottom"/>
          </w:tcPr>
          <w:p w:rsidR="00880A92" w:rsidRDefault="00FA0404">
            <w:pPr>
              <w:spacing w:before="120"/>
              <w:jc w:val="center"/>
            </w:pPr>
            <w:r>
              <w:rPr>
                <w:sz w:val="24"/>
              </w:rPr>
              <w:t>2</w:t>
            </w:r>
          </w:p>
        </w:tc>
      </w:tr>
      <w:tr w:rsidR="00880A92">
        <w:trPr>
          <w:cantSplit/>
          <w:jc w:val="center"/>
        </w:trPr>
        <w:tc>
          <w:tcPr>
            <w:tcW w:w="9100" w:type="dxa"/>
            <w:noWrap/>
            <w:vAlign w:val="bottom"/>
          </w:tcPr>
          <w:p w:rsidR="00880A92" w:rsidRDefault="00FA0404">
            <w:pPr>
              <w:spacing w:before="120"/>
              <w:jc w:val="both"/>
            </w:pPr>
            <w:r>
              <w:rPr>
                <w:sz w:val="24"/>
              </w:rPr>
              <w:t xml:space="preserve">Количество протоколов участковых избирательных комиссий об итогах голосования, на основании </w:t>
            </w:r>
            <w:r>
              <w:rPr>
                <w:sz w:val="24"/>
              </w:rPr>
              <w:t>которых составлен данный протокол</w:t>
            </w:r>
          </w:p>
        </w:tc>
        <w:tc>
          <w:tcPr>
            <w:tcW w:w="1100" w:type="dxa"/>
            <w:noWrap/>
            <w:vAlign w:val="bottom"/>
          </w:tcPr>
          <w:p w:rsidR="00880A92" w:rsidRDefault="00FA0404">
            <w:pPr>
              <w:spacing w:before="120"/>
              <w:jc w:val="center"/>
            </w:pPr>
            <w:r>
              <w:rPr>
                <w:sz w:val="24"/>
              </w:rPr>
              <w:t>2</w:t>
            </w:r>
          </w:p>
        </w:tc>
      </w:tr>
      <w:tr w:rsidR="00880A92">
        <w:trPr>
          <w:cantSplit/>
          <w:jc w:val="center"/>
        </w:trPr>
        <w:tc>
          <w:tcPr>
            <w:tcW w:w="9100" w:type="dxa"/>
            <w:noWrap/>
            <w:vAlign w:val="bottom"/>
          </w:tcPr>
          <w:p w:rsidR="00880A92" w:rsidRDefault="00FA0404">
            <w:pPr>
              <w:spacing w:before="120"/>
              <w:jc w:val="both"/>
            </w:pPr>
            <w:r>
              <w:rPr>
                <w:sz w:val="24"/>
              </w:rPr>
              <w:t>!</w:t>
            </w:r>
          </w:p>
        </w:tc>
        <w:tc>
          <w:tcPr>
            <w:tcW w:w="1100" w:type="dxa"/>
            <w:noWrap/>
            <w:vAlign w:val="bottom"/>
          </w:tcPr>
          <w:p w:rsidR="00880A92" w:rsidRDefault="00FA0404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880A92">
        <w:trPr>
          <w:cantSplit/>
          <w:jc w:val="center"/>
        </w:trPr>
        <w:tc>
          <w:tcPr>
            <w:tcW w:w="9100" w:type="dxa"/>
            <w:noWrap/>
            <w:vAlign w:val="bottom"/>
          </w:tcPr>
          <w:p w:rsidR="00880A92" w:rsidRDefault="00FA0404">
            <w:pPr>
              <w:spacing w:before="120"/>
              <w:jc w:val="both"/>
            </w:pPr>
            <w:r>
              <w:rPr>
                <w:sz w:val="24"/>
              </w:rPr>
              <w:t>!</w:t>
            </w:r>
          </w:p>
        </w:tc>
        <w:tc>
          <w:tcPr>
            <w:tcW w:w="1100" w:type="dxa"/>
            <w:noWrap/>
            <w:vAlign w:val="bottom"/>
          </w:tcPr>
          <w:p w:rsidR="00880A92" w:rsidRDefault="00FA0404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880A92" w:rsidRDefault="00880A92"/>
    <w:tbl>
      <w:tblPr>
        <w:tblW w:w="5000" w:type="pct"/>
        <w:jc w:val="center"/>
        <w:tblLook w:val="04A0"/>
      </w:tblPr>
      <w:tblGrid>
        <w:gridCol w:w="10421"/>
      </w:tblGrid>
      <w:tr w:rsidR="00880A92">
        <w:trPr>
          <w:cantSplit/>
          <w:jc w:val="center"/>
        </w:trPr>
        <w:tc>
          <w:tcPr>
            <w:tcW w:w="10200" w:type="dxa"/>
            <w:noWrap/>
          </w:tcPr>
          <w:p w:rsidR="00880A92" w:rsidRDefault="00FA0404">
            <w:pPr>
              <w:jc w:val="both"/>
            </w:pPr>
            <w:r>
              <w:rPr>
                <w:sz w:val="24"/>
              </w:rPr>
              <w:br/>
              <w:t>После предварительной пров</w:t>
            </w:r>
            <w:r>
              <w:rPr>
                <w:sz w:val="24"/>
              </w:rPr>
              <w:t>ерки правильности составления протоколов участковых избирательных комиссий об итогах голосования территориальная избирательная комиссия  путем суммирования данных, содержащихся в указанных протоколах участковых избирательных комиссий, установила:</w:t>
            </w:r>
          </w:p>
        </w:tc>
      </w:tr>
    </w:tbl>
    <w:p w:rsidR="00880A92" w:rsidRDefault="00880A92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"/>
        <w:gridCol w:w="7126"/>
        <w:gridCol w:w="2601"/>
      </w:tblGrid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</w:t>
            </w:r>
            <w:r>
              <w:rPr>
                <w:sz w:val="24"/>
              </w:rPr>
              <w:t xml:space="preserve"> избирателей, внесенных в список на момент окончания голосования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3360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полученных участковой комиссией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3208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0170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 xml:space="preserve">число бюллетеней, выданных избирателям, проголосовавшим досрочно, в помещении территориальной избирательной комиссии 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0022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1133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выданных избирател</w:t>
            </w:r>
            <w:r>
              <w:rPr>
                <w:sz w:val="24"/>
              </w:rPr>
              <w:t>ям, проголосовавшим вне помещения для голосования в день голосования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0069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погашенных бюллетеней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1858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0069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1303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недействительных бюллетеней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0019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действительных бюллетеней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1353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утраченных бюллетеней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0000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6978" w:type="dxa"/>
            <w:noWrap/>
          </w:tcPr>
          <w:p w:rsidR="00880A92" w:rsidRDefault="00FA0404">
            <w:r>
              <w:rPr>
                <w:sz w:val="24"/>
              </w:rPr>
              <w:t>Число бюллетеней, не учтенных при получении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0000</w:t>
            </w:r>
          </w:p>
        </w:tc>
      </w:tr>
    </w:tbl>
    <w:p w:rsidR="00880A92" w:rsidRDefault="00880A92">
      <w:pPr>
        <w:spacing w:line="14" w:lineRule="exact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5273"/>
        <w:gridCol w:w="2601"/>
        <w:gridCol w:w="1852"/>
      </w:tblGrid>
      <w:tr w:rsidR="00880A92">
        <w:trPr>
          <w:cantSplit/>
          <w:jc w:val="center"/>
        </w:trPr>
        <w:tc>
          <w:tcPr>
            <w:tcW w:w="0" w:type="dxa"/>
            <w:gridSpan w:val="2"/>
            <w:vMerge w:val="restart"/>
            <w:noWrap/>
            <w:vAlign w:val="center"/>
          </w:tcPr>
          <w:p w:rsidR="00880A92" w:rsidRDefault="00FA0404">
            <w:pPr>
              <w:jc w:val="center"/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0" w:type="dxa"/>
            <w:gridSpan w:val="2"/>
            <w:noWrap/>
            <w:vAlign w:val="center"/>
          </w:tcPr>
          <w:p w:rsidR="00880A92" w:rsidRDefault="00FA0404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80A92">
        <w:trPr>
          <w:cantSplit/>
          <w:jc w:val="center"/>
        </w:trPr>
        <w:tc>
          <w:tcPr>
            <w:tcW w:w="0" w:type="dxa"/>
            <w:gridSpan w:val="2"/>
            <w:vMerge/>
            <w:noWrap/>
            <w:vAlign w:val="center"/>
          </w:tcPr>
          <w:p w:rsidR="00880A92" w:rsidRDefault="00880A92"/>
        </w:tc>
        <w:tc>
          <w:tcPr>
            <w:tcW w:w="2547" w:type="dxa"/>
            <w:noWrap/>
            <w:vAlign w:val="center"/>
          </w:tcPr>
          <w:p w:rsidR="00880A92" w:rsidRDefault="00FA0404">
            <w:pPr>
              <w:jc w:val="center"/>
            </w:pPr>
            <w:r>
              <w:rPr>
                <w:b/>
              </w:rPr>
              <w:t>абсолютное значение</w:t>
            </w:r>
          </w:p>
        </w:tc>
        <w:tc>
          <w:tcPr>
            <w:tcW w:w="1814" w:type="dxa"/>
            <w:noWrap/>
            <w:vAlign w:val="center"/>
          </w:tcPr>
          <w:p w:rsidR="00880A92" w:rsidRDefault="00FA0404">
            <w:pPr>
              <w:jc w:val="center"/>
            </w:pPr>
            <w:r>
              <w:rPr>
                <w:b/>
              </w:rPr>
              <w:t>в процентах от числа избирателей, принявших участие в голосовании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5164" w:type="dxa"/>
            <w:noWrap/>
          </w:tcPr>
          <w:p w:rsidR="00880A92" w:rsidRDefault="00FA0404">
            <w:r>
              <w:rPr>
                <w:sz w:val="24"/>
              </w:rPr>
              <w:t>Бразаускас Денис Владимирович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0031</w:t>
            </w:r>
          </w:p>
        </w:tc>
        <w:tc>
          <w:tcPr>
            <w:tcW w:w="1814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2,26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5164" w:type="dxa"/>
            <w:noWrap/>
          </w:tcPr>
          <w:p w:rsidR="00880A92" w:rsidRDefault="00FA0404">
            <w:r>
              <w:rPr>
                <w:sz w:val="24"/>
              </w:rPr>
              <w:t>Кобызев Евгений Владимирович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0582</w:t>
            </w:r>
          </w:p>
        </w:tc>
        <w:tc>
          <w:tcPr>
            <w:tcW w:w="1814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42,42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5164" w:type="dxa"/>
            <w:noWrap/>
          </w:tcPr>
          <w:p w:rsidR="00880A92" w:rsidRDefault="00FA0404">
            <w:r>
              <w:rPr>
                <w:sz w:val="24"/>
              </w:rPr>
              <w:t>Мосман Иван Владимирович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0725</w:t>
            </w:r>
          </w:p>
        </w:tc>
        <w:tc>
          <w:tcPr>
            <w:tcW w:w="1814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52,84</w:t>
            </w:r>
          </w:p>
        </w:tc>
      </w:tr>
      <w:tr w:rsidR="00880A92">
        <w:trPr>
          <w:cantSplit/>
          <w:trHeight w:val="566"/>
          <w:jc w:val="center"/>
        </w:trPr>
        <w:tc>
          <w:tcPr>
            <w:tcW w:w="680" w:type="dxa"/>
            <w:noWrap/>
          </w:tcPr>
          <w:p w:rsidR="00880A92" w:rsidRDefault="00FA0404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5164" w:type="dxa"/>
            <w:noWrap/>
          </w:tcPr>
          <w:p w:rsidR="00880A92" w:rsidRDefault="00FA0404">
            <w:r>
              <w:rPr>
                <w:sz w:val="24"/>
              </w:rPr>
              <w:t>Песегова Ирина Викторовна</w:t>
            </w:r>
          </w:p>
        </w:tc>
        <w:tc>
          <w:tcPr>
            <w:tcW w:w="2547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0015</w:t>
            </w:r>
          </w:p>
        </w:tc>
        <w:tc>
          <w:tcPr>
            <w:tcW w:w="1814" w:type="dxa"/>
            <w:noWrap/>
          </w:tcPr>
          <w:p w:rsidR="00880A92" w:rsidRDefault="00FA0404">
            <w:pPr>
              <w:jc w:val="center"/>
            </w:pPr>
            <w:r>
              <w:rPr>
                <w:sz w:val="32"/>
              </w:rPr>
              <w:t>1,09</w:t>
            </w:r>
          </w:p>
        </w:tc>
      </w:tr>
    </w:tbl>
    <w:p w:rsidR="00880A92" w:rsidRDefault="00880A92"/>
    <w:p w:rsidR="00880A92" w:rsidRDefault="00FA0404">
      <w:r>
        <w:rPr>
          <w:sz w:val="24"/>
        </w:rPr>
        <w:t>Число избирателей, принявших участие в голосовании</w:t>
      </w:r>
    </w:p>
    <w:tbl>
      <w:tblPr>
        <w:tblW w:w="5000" w:type="pct"/>
        <w:jc w:val="center"/>
        <w:tblLook w:val="04A0"/>
      </w:tblPr>
      <w:tblGrid>
        <w:gridCol w:w="4291"/>
        <w:gridCol w:w="3065"/>
        <w:gridCol w:w="3065"/>
      </w:tblGrid>
      <w:tr w:rsidR="00880A92">
        <w:trPr>
          <w:cantSplit/>
          <w:jc w:val="center"/>
        </w:trPr>
        <w:tc>
          <w:tcPr>
            <w:tcW w:w="3970" w:type="dxa"/>
            <w:noWrap/>
          </w:tcPr>
          <w:p w:rsidR="00880A92" w:rsidRDefault="00880A92"/>
        </w:tc>
        <w:tc>
          <w:tcPr>
            <w:tcW w:w="2835" w:type="dxa"/>
            <w:noWrap/>
          </w:tcPr>
          <w:p w:rsidR="00880A92" w:rsidRDefault="00FA0404">
            <w:r>
              <w:rPr>
                <w:sz w:val="24"/>
              </w:rPr>
              <w:t>абсолютное:</w:t>
            </w:r>
          </w:p>
        </w:tc>
        <w:tc>
          <w:tcPr>
            <w:tcW w:w="2835" w:type="dxa"/>
            <w:noWrap/>
          </w:tcPr>
          <w:p w:rsidR="00880A92" w:rsidRDefault="00FA0404">
            <w:r>
              <w:rPr>
                <w:sz w:val="24"/>
              </w:rPr>
              <w:t>1372</w:t>
            </w:r>
          </w:p>
        </w:tc>
      </w:tr>
      <w:tr w:rsidR="00880A92">
        <w:trPr>
          <w:cantSplit/>
          <w:jc w:val="center"/>
        </w:trPr>
        <w:tc>
          <w:tcPr>
            <w:tcW w:w="3970" w:type="dxa"/>
            <w:noWrap/>
          </w:tcPr>
          <w:p w:rsidR="00880A92" w:rsidRDefault="00880A92"/>
        </w:tc>
        <w:tc>
          <w:tcPr>
            <w:tcW w:w="2835" w:type="dxa"/>
            <w:noWrap/>
          </w:tcPr>
          <w:p w:rsidR="00880A92" w:rsidRDefault="00FA0404">
            <w:r>
              <w:rPr>
                <w:sz w:val="24"/>
              </w:rPr>
              <w:t>в процентах:</w:t>
            </w:r>
          </w:p>
        </w:tc>
        <w:tc>
          <w:tcPr>
            <w:tcW w:w="2835" w:type="dxa"/>
            <w:noWrap/>
          </w:tcPr>
          <w:p w:rsidR="00880A92" w:rsidRDefault="00FA0404">
            <w:r>
              <w:rPr>
                <w:sz w:val="24"/>
              </w:rPr>
              <w:t>40,83%</w:t>
            </w:r>
          </w:p>
        </w:tc>
      </w:tr>
    </w:tbl>
    <w:p w:rsidR="00880A92" w:rsidRDefault="00880A92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880A92">
        <w:trPr>
          <w:cantSplit/>
          <w:jc w:val="center"/>
        </w:trPr>
        <w:tc>
          <w:tcPr>
            <w:tcW w:w="0" w:type="auto"/>
            <w:noWrap/>
          </w:tcPr>
          <w:p w:rsidR="00880A92" w:rsidRDefault="00FA0404">
            <w:pPr>
              <w:jc w:val="both"/>
            </w:pPr>
            <w:r>
              <w:rPr>
                <w:sz w:val="24"/>
              </w:rPr>
              <w:t>На основании части 9 статьи 58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территориальная избирательная комиссия Уст</w:t>
            </w:r>
            <w:r>
              <w:rPr>
                <w:sz w:val="24"/>
              </w:rPr>
              <w:t>ь-Абаканского района решила: признать выборы Главы сельского поселения Расцветовского сельсовета Усть-Абаканского муниципального района Республики Хакасия состоявшимися и действительными. В соответствии с частью 8 статьи 58 Закона Республики Хакасия "О выб</w:t>
            </w:r>
            <w:r>
              <w:rPr>
                <w:sz w:val="24"/>
              </w:rPr>
              <w:t>орах глав муниципальных образований и депутатов представительных органов муниципальных образований в Республике Хакасия" территориальная избирательная комиссия Усть-Абаканского района  решила: признать      Мосмана Ивана Владимировича избранным Главой сель</w:t>
            </w:r>
            <w:r>
              <w:rPr>
                <w:sz w:val="24"/>
              </w:rPr>
              <w:t>ского поселения Расцветовского сельсовета Усть-Абаканского муниципального района Республики Хакасия.</w:t>
            </w:r>
          </w:p>
        </w:tc>
      </w:tr>
    </w:tbl>
    <w:p w:rsidR="00880A92" w:rsidRDefault="00880A92"/>
    <w:p w:rsidR="00880A92" w:rsidRDefault="00880A92"/>
    <w:sectPr w:rsidR="00880A92" w:rsidSect="00880A92">
      <w:pgSz w:w="11905" w:h="16837"/>
      <w:pgMar w:top="453" w:right="850" w:bottom="453" w:left="850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04" w:rsidRDefault="00FA0404">
      <w:r>
        <w:separator/>
      </w:r>
    </w:p>
  </w:endnote>
  <w:endnote w:type="continuationSeparator" w:id="1">
    <w:p w:rsidR="00FA0404" w:rsidRDefault="00FA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04" w:rsidRDefault="00FA0404">
      <w:r>
        <w:separator/>
      </w:r>
    </w:p>
  </w:footnote>
  <w:footnote w:type="continuationSeparator" w:id="1">
    <w:p w:rsidR="00FA0404" w:rsidRDefault="00FA0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A92"/>
    <w:rsid w:val="00880A92"/>
    <w:rsid w:val="00F96959"/>
    <w:rsid w:val="00FA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880A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80A9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880A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80A92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880A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80A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880A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80A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880A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80A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880A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80A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880A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80A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880A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80A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880A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80A9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880A92"/>
    <w:pPr>
      <w:ind w:left="720"/>
      <w:contextualSpacing/>
    </w:pPr>
  </w:style>
  <w:style w:type="paragraph" w:styleId="a4">
    <w:name w:val="No Spacing"/>
    <w:uiPriority w:val="1"/>
    <w:qFormat/>
    <w:rsid w:val="00880A92"/>
  </w:style>
  <w:style w:type="paragraph" w:styleId="a5">
    <w:name w:val="Title"/>
    <w:link w:val="a6"/>
    <w:uiPriority w:val="10"/>
    <w:qFormat/>
    <w:rsid w:val="00880A9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80A92"/>
    <w:rPr>
      <w:sz w:val="48"/>
      <w:szCs w:val="48"/>
    </w:rPr>
  </w:style>
  <w:style w:type="paragraph" w:styleId="a7">
    <w:name w:val="Subtitle"/>
    <w:link w:val="a8"/>
    <w:uiPriority w:val="11"/>
    <w:qFormat/>
    <w:rsid w:val="00880A9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80A92"/>
    <w:rPr>
      <w:sz w:val="24"/>
      <w:szCs w:val="24"/>
    </w:rPr>
  </w:style>
  <w:style w:type="paragraph" w:styleId="2">
    <w:name w:val="Quote"/>
    <w:link w:val="20"/>
    <w:uiPriority w:val="29"/>
    <w:qFormat/>
    <w:rsid w:val="00880A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80A92"/>
    <w:rPr>
      <w:i/>
    </w:rPr>
  </w:style>
  <w:style w:type="paragraph" w:styleId="a9">
    <w:name w:val="Intense Quote"/>
    <w:link w:val="aa"/>
    <w:uiPriority w:val="30"/>
    <w:qFormat/>
    <w:rsid w:val="00880A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80A92"/>
    <w:rPr>
      <w:i/>
    </w:rPr>
  </w:style>
  <w:style w:type="paragraph" w:customStyle="1" w:styleId="Header">
    <w:name w:val="Header"/>
    <w:link w:val="HeaderChar"/>
    <w:uiPriority w:val="99"/>
    <w:unhideWhenUsed/>
    <w:rsid w:val="00880A9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80A92"/>
  </w:style>
  <w:style w:type="paragraph" w:customStyle="1" w:styleId="Footer">
    <w:name w:val="Footer"/>
    <w:link w:val="FooterChar"/>
    <w:uiPriority w:val="99"/>
    <w:unhideWhenUsed/>
    <w:rsid w:val="00880A9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80A92"/>
  </w:style>
  <w:style w:type="paragraph" w:customStyle="1" w:styleId="Caption">
    <w:name w:val="Caption"/>
    <w:link w:val="CaptionChar"/>
    <w:uiPriority w:val="35"/>
    <w:semiHidden/>
    <w:unhideWhenUsed/>
    <w:qFormat/>
    <w:rsid w:val="00880A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80A92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880A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0A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80A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80A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0A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0A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0A9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0A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0A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80A9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0A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0A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80A92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880A9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80A92"/>
    <w:rPr>
      <w:sz w:val="18"/>
    </w:rPr>
  </w:style>
  <w:style w:type="character" w:styleId="af">
    <w:name w:val="footnote reference"/>
    <w:uiPriority w:val="99"/>
    <w:unhideWhenUsed/>
    <w:rsid w:val="00880A92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880A92"/>
  </w:style>
  <w:style w:type="character" w:customStyle="1" w:styleId="af1">
    <w:name w:val="Текст концевой сноски Знак"/>
    <w:link w:val="af0"/>
    <w:uiPriority w:val="99"/>
    <w:rsid w:val="00880A92"/>
    <w:rPr>
      <w:sz w:val="20"/>
    </w:rPr>
  </w:style>
  <w:style w:type="character" w:styleId="af2">
    <w:name w:val="endnote reference"/>
    <w:uiPriority w:val="99"/>
    <w:semiHidden/>
    <w:unhideWhenUsed/>
    <w:rsid w:val="00880A92"/>
    <w:rPr>
      <w:vertAlign w:val="superscript"/>
    </w:rPr>
  </w:style>
  <w:style w:type="paragraph" w:styleId="1">
    <w:name w:val="toc 1"/>
    <w:uiPriority w:val="39"/>
    <w:unhideWhenUsed/>
    <w:rsid w:val="00880A92"/>
    <w:pPr>
      <w:spacing w:after="57"/>
    </w:pPr>
  </w:style>
  <w:style w:type="paragraph" w:styleId="21">
    <w:name w:val="toc 2"/>
    <w:uiPriority w:val="39"/>
    <w:unhideWhenUsed/>
    <w:rsid w:val="00880A92"/>
    <w:pPr>
      <w:spacing w:after="57"/>
      <w:ind w:left="283"/>
    </w:pPr>
  </w:style>
  <w:style w:type="paragraph" w:styleId="3">
    <w:name w:val="toc 3"/>
    <w:uiPriority w:val="39"/>
    <w:unhideWhenUsed/>
    <w:rsid w:val="00880A92"/>
    <w:pPr>
      <w:spacing w:after="57"/>
      <w:ind w:left="567"/>
    </w:pPr>
  </w:style>
  <w:style w:type="paragraph" w:styleId="4">
    <w:name w:val="toc 4"/>
    <w:uiPriority w:val="39"/>
    <w:unhideWhenUsed/>
    <w:rsid w:val="00880A92"/>
    <w:pPr>
      <w:spacing w:after="57"/>
      <w:ind w:left="850"/>
    </w:pPr>
  </w:style>
  <w:style w:type="paragraph" w:styleId="5">
    <w:name w:val="toc 5"/>
    <w:uiPriority w:val="39"/>
    <w:unhideWhenUsed/>
    <w:rsid w:val="00880A92"/>
    <w:pPr>
      <w:spacing w:after="57"/>
      <w:ind w:left="1134"/>
    </w:pPr>
  </w:style>
  <w:style w:type="paragraph" w:styleId="6">
    <w:name w:val="toc 6"/>
    <w:uiPriority w:val="39"/>
    <w:unhideWhenUsed/>
    <w:rsid w:val="00880A92"/>
    <w:pPr>
      <w:spacing w:after="57"/>
      <w:ind w:left="1417"/>
    </w:pPr>
  </w:style>
  <w:style w:type="paragraph" w:styleId="7">
    <w:name w:val="toc 7"/>
    <w:uiPriority w:val="39"/>
    <w:unhideWhenUsed/>
    <w:rsid w:val="00880A92"/>
    <w:pPr>
      <w:spacing w:after="57"/>
      <w:ind w:left="1701"/>
    </w:pPr>
  </w:style>
  <w:style w:type="paragraph" w:styleId="8">
    <w:name w:val="toc 8"/>
    <w:uiPriority w:val="39"/>
    <w:unhideWhenUsed/>
    <w:rsid w:val="00880A92"/>
    <w:pPr>
      <w:spacing w:after="57"/>
      <w:ind w:left="1984"/>
    </w:pPr>
  </w:style>
  <w:style w:type="paragraph" w:styleId="9">
    <w:name w:val="toc 9"/>
    <w:uiPriority w:val="39"/>
    <w:unhideWhenUsed/>
    <w:rsid w:val="00880A92"/>
    <w:pPr>
      <w:spacing w:after="57"/>
      <w:ind w:left="2268"/>
    </w:pPr>
  </w:style>
  <w:style w:type="paragraph" w:styleId="af3">
    <w:name w:val="TOC Heading"/>
    <w:uiPriority w:val="39"/>
    <w:unhideWhenUsed/>
    <w:rsid w:val="00880A92"/>
  </w:style>
  <w:style w:type="paragraph" w:styleId="af4">
    <w:name w:val="table of figures"/>
    <w:uiPriority w:val="99"/>
    <w:unhideWhenUsed/>
    <w:rsid w:val="00880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Point-41</cp:lastModifiedBy>
  <cp:revision>5</cp:revision>
  <dcterms:created xsi:type="dcterms:W3CDTF">2026-03-22T15:17:00Z</dcterms:created>
  <dcterms:modified xsi:type="dcterms:W3CDTF">2026-03-27T02:24:00Z</dcterms:modified>
</cp:coreProperties>
</file>