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D5294D">
        <w:rPr>
          <w:b/>
          <w:sz w:val="28"/>
          <w:szCs w:val="28"/>
        </w:rPr>
        <w:t>июл</w:t>
      </w:r>
      <w:r w:rsidR="00AB59F2">
        <w:rPr>
          <w:b/>
          <w:sz w:val="28"/>
          <w:szCs w:val="28"/>
        </w:rPr>
        <w:t>е</w:t>
      </w:r>
      <w:r w:rsidR="00AC3C3A" w:rsidRPr="00563EC7">
        <w:rPr>
          <w:b/>
          <w:sz w:val="28"/>
          <w:szCs w:val="28"/>
        </w:rPr>
        <w:t xml:space="preserve"> </w:t>
      </w:r>
      <w:r w:rsidR="00F01118" w:rsidRPr="00563EC7">
        <w:rPr>
          <w:b/>
          <w:sz w:val="28"/>
          <w:szCs w:val="28"/>
        </w:rPr>
        <w:t xml:space="preserve"> </w:t>
      </w:r>
      <w:r w:rsidR="00AC3C3A" w:rsidRPr="00563EC7">
        <w:rPr>
          <w:b/>
          <w:sz w:val="28"/>
          <w:szCs w:val="28"/>
        </w:rPr>
        <w:t>2023</w:t>
      </w:r>
      <w:r w:rsidR="00A726C3" w:rsidRPr="00563EC7">
        <w:rPr>
          <w:b/>
          <w:sz w:val="28"/>
          <w:szCs w:val="28"/>
        </w:rPr>
        <w:t xml:space="preserve"> поступило  </w:t>
      </w:r>
      <w:r w:rsidR="00D5294D">
        <w:rPr>
          <w:b/>
          <w:sz w:val="28"/>
          <w:szCs w:val="28"/>
        </w:rPr>
        <w:t>39</w:t>
      </w:r>
      <w:r w:rsidR="005C1B66">
        <w:rPr>
          <w:sz w:val="28"/>
          <w:szCs w:val="28"/>
        </w:rPr>
        <w:t xml:space="preserve"> </w:t>
      </w:r>
      <w:r w:rsidR="00A726C3" w:rsidRPr="009114F8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D5294D">
        <w:rPr>
          <w:sz w:val="28"/>
          <w:szCs w:val="28"/>
        </w:rPr>
        <w:t>6</w:t>
      </w:r>
      <w:r w:rsidR="0022270D" w:rsidRPr="009114F8">
        <w:rPr>
          <w:sz w:val="28"/>
          <w:szCs w:val="28"/>
        </w:rPr>
        <w:t xml:space="preserve"> 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  <w:proofErr w:type="gramStart"/>
      <w:r w:rsidR="00416CDD" w:rsidRPr="009114F8">
        <w:rPr>
          <w:sz w:val="28"/>
          <w:szCs w:val="28"/>
        </w:rPr>
        <w:t>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</w:t>
      </w:r>
      <w:r w:rsidR="00A15EE0">
        <w:rPr>
          <w:sz w:val="28"/>
          <w:szCs w:val="28"/>
        </w:rPr>
        <w:t>2</w:t>
      </w:r>
      <w:r w:rsidR="00075ACB">
        <w:rPr>
          <w:sz w:val="28"/>
          <w:szCs w:val="28"/>
        </w:rPr>
        <w:t>, «Социальной сфера»</w:t>
      </w:r>
      <w:r w:rsidR="00A15EE0">
        <w:rPr>
          <w:sz w:val="28"/>
          <w:szCs w:val="28"/>
        </w:rPr>
        <w:t xml:space="preserve"> -7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A15EE0">
        <w:rPr>
          <w:sz w:val="28"/>
          <w:szCs w:val="28"/>
        </w:rPr>
        <w:t>-25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«Оборона, безопасность, законность»-2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4A5E31">
        <w:rPr>
          <w:sz w:val="28"/>
          <w:szCs w:val="28"/>
        </w:rPr>
        <w:t>6</w:t>
      </w:r>
      <w:r w:rsidR="00416CDD" w:rsidRPr="009114F8">
        <w:rPr>
          <w:sz w:val="28"/>
          <w:szCs w:val="28"/>
        </w:rPr>
        <w:t>.</w:t>
      </w:r>
      <w:proofErr w:type="gramEnd"/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</w:t>
      </w:r>
      <w:r w:rsidR="002C77A9">
        <w:rPr>
          <w:sz w:val="28"/>
          <w:szCs w:val="28"/>
        </w:rPr>
        <w:t>ойство поселений, ремонт дорог, земельные вопросы, вопросы строительства и ремонта  учреждений социальной сферы, установления льгот участникам СВО</w:t>
      </w:r>
      <w:r w:rsidR="004A5E31">
        <w:rPr>
          <w:sz w:val="28"/>
          <w:szCs w:val="28"/>
        </w:rPr>
        <w:tab/>
      </w:r>
      <w:r w:rsidR="00A4061F">
        <w:rPr>
          <w:sz w:val="28"/>
          <w:szCs w:val="28"/>
        </w:rPr>
        <w:t>и другие  актуальные вопросы для</w:t>
      </w:r>
      <w:r w:rsidR="002C77A9">
        <w:rPr>
          <w:sz w:val="28"/>
          <w:szCs w:val="28"/>
        </w:rPr>
        <w:t xml:space="preserve"> жителей.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A15EE0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 июл</w:t>
      </w:r>
      <w:r w:rsidR="00AB59F2">
        <w:rPr>
          <w:sz w:val="28"/>
          <w:szCs w:val="28"/>
        </w:rPr>
        <w:t>ь</w:t>
      </w:r>
      <w:r w:rsidR="00563EC7">
        <w:rPr>
          <w:sz w:val="28"/>
          <w:szCs w:val="28"/>
        </w:rPr>
        <w:t xml:space="preserve"> 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92"/>
        <w:gridCol w:w="1186"/>
        <w:gridCol w:w="4378"/>
      </w:tblGrid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AB5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AB59F2">
              <w:rPr>
                <w:sz w:val="26"/>
                <w:szCs w:val="26"/>
              </w:rPr>
              <w:t>июнь</w:t>
            </w:r>
            <w:r>
              <w:rPr>
                <w:sz w:val="26"/>
                <w:szCs w:val="26"/>
              </w:rPr>
              <w:t xml:space="preserve"> 2023г.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A15EE0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220720" w:rsidRDefault="00A4061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A4061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A4061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061F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1F" w:rsidRDefault="00A4061F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по тематическому разделу </w:t>
            </w:r>
          </w:p>
          <w:p w:rsidR="00A4061F" w:rsidRPr="00112696" w:rsidRDefault="00A4061F" w:rsidP="001126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«Оборона, безопасность, законность»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F" w:rsidRDefault="00A4061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F" w:rsidRPr="00112696" w:rsidRDefault="00A4061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4A5E3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05E25" w:rsidRPr="00112696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A4061F">
        <w:rPr>
          <w:b/>
          <w:bCs/>
          <w:sz w:val="26"/>
          <w:szCs w:val="26"/>
        </w:rPr>
        <w:t>июл</w:t>
      </w:r>
      <w:r w:rsidR="004A5E31">
        <w:rPr>
          <w:b/>
          <w:bCs/>
          <w:sz w:val="26"/>
          <w:szCs w:val="26"/>
        </w:rPr>
        <w:t>е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A4061F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июль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474ACE">
              <w:rPr>
                <w:snapToGrid w:val="0"/>
              </w:rPr>
              <w:t>9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74AC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74AC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474AC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74AC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474AC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378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74AC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DD75FB" w:rsidRPr="00474ACE" w:rsidRDefault="00474ACE" w:rsidP="00474ACE">
      <w:pPr>
        <w:ind w:firstLine="658"/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474ACE">
      <w:pPr>
        <w:ind w:firstLine="658"/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474ACE">
      <w:pPr>
        <w:ind w:firstLine="658"/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65526D">
      <w:pgSz w:w="11906" w:h="16838"/>
      <w:pgMar w:top="1134" w:right="70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A7768"/>
    <w:rsid w:val="002C77A9"/>
    <w:rsid w:val="002E3753"/>
    <w:rsid w:val="00340E40"/>
    <w:rsid w:val="00350C92"/>
    <w:rsid w:val="00375BB0"/>
    <w:rsid w:val="00397BA5"/>
    <w:rsid w:val="003C6F56"/>
    <w:rsid w:val="00405E25"/>
    <w:rsid w:val="00416CDD"/>
    <w:rsid w:val="004572B7"/>
    <w:rsid w:val="00474ACE"/>
    <w:rsid w:val="004A5E31"/>
    <w:rsid w:val="004E7557"/>
    <w:rsid w:val="00510750"/>
    <w:rsid w:val="00524116"/>
    <w:rsid w:val="00563EC7"/>
    <w:rsid w:val="00591347"/>
    <w:rsid w:val="005B4062"/>
    <w:rsid w:val="005C1B66"/>
    <w:rsid w:val="00610D07"/>
    <w:rsid w:val="00617362"/>
    <w:rsid w:val="00623D38"/>
    <w:rsid w:val="006378D4"/>
    <w:rsid w:val="0065526D"/>
    <w:rsid w:val="006C0964"/>
    <w:rsid w:val="006E6638"/>
    <w:rsid w:val="00706EE8"/>
    <w:rsid w:val="0078267F"/>
    <w:rsid w:val="007B0692"/>
    <w:rsid w:val="009114F8"/>
    <w:rsid w:val="00965655"/>
    <w:rsid w:val="0097042C"/>
    <w:rsid w:val="0098559A"/>
    <w:rsid w:val="0098568F"/>
    <w:rsid w:val="009A1D88"/>
    <w:rsid w:val="009B3218"/>
    <w:rsid w:val="009C336A"/>
    <w:rsid w:val="009E2CB5"/>
    <w:rsid w:val="00A15EE0"/>
    <w:rsid w:val="00A4061F"/>
    <w:rsid w:val="00A726C3"/>
    <w:rsid w:val="00A86039"/>
    <w:rsid w:val="00AB59F2"/>
    <w:rsid w:val="00AC3C3A"/>
    <w:rsid w:val="00B361DF"/>
    <w:rsid w:val="00B6487B"/>
    <w:rsid w:val="00B74B11"/>
    <w:rsid w:val="00BC6832"/>
    <w:rsid w:val="00C11578"/>
    <w:rsid w:val="00C1712A"/>
    <w:rsid w:val="00C50C09"/>
    <w:rsid w:val="00C656BA"/>
    <w:rsid w:val="00CA3AF2"/>
    <w:rsid w:val="00CB4A8C"/>
    <w:rsid w:val="00CC356D"/>
    <w:rsid w:val="00CE31CD"/>
    <w:rsid w:val="00D5294D"/>
    <w:rsid w:val="00DC6F50"/>
    <w:rsid w:val="00DD75FB"/>
    <w:rsid w:val="00E26867"/>
    <w:rsid w:val="00E913ED"/>
    <w:rsid w:val="00F01118"/>
    <w:rsid w:val="00F5313D"/>
    <w:rsid w:val="00F91D30"/>
    <w:rsid w:val="00FA65A5"/>
    <w:rsid w:val="00FE3AC9"/>
    <w:rsid w:val="00FF1EE6"/>
    <w:rsid w:val="00FF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2023-02-27T02:12:00Z</cp:lastPrinted>
  <dcterms:created xsi:type="dcterms:W3CDTF">2023-08-01T03:29:00Z</dcterms:created>
  <dcterms:modified xsi:type="dcterms:W3CDTF">2023-08-01T03:29:00Z</dcterms:modified>
</cp:coreProperties>
</file>