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о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тчет </w:t>
      </w:r>
    </w:p>
    <w:p w:rsidR="0043535A" w:rsidRDefault="00BA747B" w:rsidP="00BA747B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63777F">
        <w:rPr>
          <w:rFonts w:ascii="Times New Roman" w:hAnsi="Times New Roman" w:cs="Times New Roman"/>
          <w:b/>
          <w:sz w:val="40"/>
          <w:szCs w:val="40"/>
        </w:rPr>
        <w:t xml:space="preserve">о </w:t>
      </w:r>
      <w:r w:rsidR="00790300">
        <w:rPr>
          <w:rFonts w:ascii="Times New Roman" w:hAnsi="Times New Roman" w:cs="Times New Roman"/>
          <w:b/>
          <w:sz w:val="40"/>
          <w:szCs w:val="40"/>
        </w:rPr>
        <w:t xml:space="preserve">ходе </w:t>
      </w:r>
      <w:r w:rsidRPr="0063777F">
        <w:rPr>
          <w:rFonts w:ascii="Times New Roman" w:hAnsi="Times New Roman" w:cs="Times New Roman"/>
          <w:b/>
          <w:sz w:val="40"/>
          <w:szCs w:val="40"/>
        </w:rPr>
        <w:t>реализации</w:t>
      </w:r>
      <w:r w:rsidR="00790300">
        <w:rPr>
          <w:rFonts w:ascii="Times New Roman" w:hAnsi="Times New Roman" w:cs="Times New Roman"/>
          <w:b/>
          <w:sz w:val="40"/>
          <w:szCs w:val="40"/>
        </w:rPr>
        <w:t xml:space="preserve"> и оценке эффективности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 муниципальной программы </w:t>
      </w:r>
      <w:r w:rsidRPr="00313C89">
        <w:rPr>
          <w:rFonts w:ascii="Times New Roman" w:hAnsi="Times New Roman" w:cs="Times New Roman"/>
          <w:b/>
          <w:sz w:val="40"/>
          <w:szCs w:val="40"/>
        </w:rPr>
        <w:t xml:space="preserve">«Развитие торговли в Усть-Абаканском районе </w:t>
      </w:r>
    </w:p>
    <w:p w:rsidR="00BA747B" w:rsidRDefault="00BA747B" w:rsidP="00BA747B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313C89">
        <w:rPr>
          <w:rFonts w:ascii="Times New Roman" w:hAnsi="Times New Roman" w:cs="Times New Roman"/>
          <w:b/>
          <w:sz w:val="40"/>
          <w:szCs w:val="40"/>
        </w:rPr>
        <w:t>(2016-2020 годы)»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за 2018 год </w:t>
      </w:r>
    </w:p>
    <w:p w:rsidR="00BA747B" w:rsidRPr="0063777F" w:rsidRDefault="00BA747B" w:rsidP="00BA747B">
      <w:pPr>
        <w:autoSpaceDE w:val="0"/>
        <w:autoSpaceDN w:val="0"/>
        <w:adjustRightInd w:val="0"/>
        <w:spacing w:before="24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BA747B" w:rsidRDefault="00BA747B" w:rsidP="00BA747B"/>
    <w:p w:rsidR="00BA747B" w:rsidRDefault="00BA747B" w:rsidP="00BA747B"/>
    <w:p w:rsidR="00BA747B" w:rsidRDefault="00BA747B" w:rsidP="00BA747B"/>
    <w:p w:rsidR="00BA747B" w:rsidRDefault="00BA747B" w:rsidP="00BA747B"/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  <w:r w:rsidRPr="0063777F">
        <w:rPr>
          <w:rFonts w:ascii="Times New Roman" w:hAnsi="Times New Roman" w:cs="Times New Roman"/>
          <w:b/>
          <w:sz w:val="26"/>
          <w:szCs w:val="26"/>
        </w:rPr>
        <w:t>Ответственный исполнитель: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</w:t>
      </w: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  <w:r w:rsidRPr="0063777F">
        <w:rPr>
          <w:rFonts w:ascii="Times New Roman" w:hAnsi="Times New Roman" w:cs="Times New Roman"/>
          <w:b/>
          <w:sz w:val="26"/>
          <w:szCs w:val="26"/>
        </w:rPr>
        <w:t>Дата составления отчета: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0300">
        <w:rPr>
          <w:rFonts w:ascii="Times New Roman" w:hAnsi="Times New Roman" w:cs="Times New Roman"/>
          <w:sz w:val="26"/>
          <w:szCs w:val="26"/>
        </w:rPr>
        <w:t>27.02</w:t>
      </w:r>
      <w:r>
        <w:rPr>
          <w:rFonts w:ascii="Times New Roman" w:hAnsi="Times New Roman" w:cs="Times New Roman"/>
          <w:sz w:val="26"/>
          <w:szCs w:val="26"/>
        </w:rPr>
        <w:t>.2019г.</w:t>
      </w: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BA74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777F">
        <w:rPr>
          <w:rFonts w:ascii="Times New Roman" w:hAnsi="Times New Roman" w:cs="Times New Roman"/>
          <w:sz w:val="20"/>
          <w:szCs w:val="20"/>
        </w:rPr>
        <w:t>Исп. Коршунова М.Г.</w:t>
      </w:r>
    </w:p>
    <w:p w:rsidR="00BA747B" w:rsidRPr="0063777F" w:rsidRDefault="00BA747B" w:rsidP="00BA74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8(39032)2-00-71</w:t>
      </w: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A747B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BA747B" w:rsidRPr="00BA747B" w:rsidRDefault="00BA747B" w:rsidP="00043D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BA747B" w:rsidRPr="00BA747B" w:rsidRDefault="00BA747B" w:rsidP="00043D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t xml:space="preserve">о реализации муниципальной программы «Развитие торговли в  Усть-Абаканском районе (2016-2020 годы)»                                                                                     </w:t>
      </w:r>
    </w:p>
    <w:p w:rsidR="00BA747B" w:rsidRPr="00BA747B" w:rsidRDefault="00BA747B" w:rsidP="00043DC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A747B">
        <w:rPr>
          <w:rFonts w:ascii="Times New Roman" w:hAnsi="Times New Roman" w:cs="Times New Roman"/>
          <w:sz w:val="26"/>
          <w:szCs w:val="26"/>
        </w:rPr>
        <w:t>за 2018 год</w:t>
      </w:r>
    </w:p>
    <w:p w:rsidR="00BA747B" w:rsidRPr="00BA747B" w:rsidRDefault="00BA747B" w:rsidP="00BA747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A747B" w:rsidRPr="00BA747B" w:rsidRDefault="00BA747B" w:rsidP="00BA747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A747B">
        <w:rPr>
          <w:rFonts w:ascii="Times New Roman" w:hAnsi="Times New Roman" w:cs="Times New Roman"/>
          <w:sz w:val="26"/>
          <w:szCs w:val="26"/>
        </w:rPr>
        <w:t>Ответственный исполнитель:</w:t>
      </w:r>
      <w:r w:rsidRPr="00BA747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Администрация Усть-Абаканского района</w:t>
      </w:r>
    </w:p>
    <w:p w:rsidR="00BA747B" w:rsidRPr="00BA747B" w:rsidRDefault="00BA747B" w:rsidP="00BA74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A747B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pPr w:leftFromText="180" w:rightFromText="180" w:vertAnchor="text" w:horzAnchor="margin" w:tblpX="280" w:tblpY="59"/>
        <w:tblW w:w="159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417"/>
        <w:gridCol w:w="709"/>
        <w:gridCol w:w="567"/>
        <w:gridCol w:w="567"/>
        <w:gridCol w:w="851"/>
        <w:gridCol w:w="567"/>
        <w:gridCol w:w="567"/>
        <w:gridCol w:w="567"/>
        <w:gridCol w:w="850"/>
        <w:gridCol w:w="1418"/>
        <w:gridCol w:w="4961"/>
        <w:gridCol w:w="2551"/>
      </w:tblGrid>
      <w:tr w:rsidR="00BA747B" w:rsidRPr="00BA747B" w:rsidTr="00043DCC">
        <w:trPr>
          <w:cantSplit/>
          <w:trHeight w:val="425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A747B" w:rsidRPr="00BA747B" w:rsidRDefault="00BA747B" w:rsidP="00043D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</w:p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План на 2018 год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br/>
              <w:t>с начала 2018 года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043DCC" w:rsidRDefault="00BA747B" w:rsidP="00043D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Pr="00BA74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начала  года %    </w:t>
            </w:r>
            <w:r w:rsidRPr="00043DCC">
              <w:rPr>
                <w:rFonts w:ascii="Times New Roman" w:hAnsi="Times New Roman" w:cs="Times New Roman"/>
                <w:sz w:val="16"/>
                <w:szCs w:val="16"/>
              </w:rPr>
              <w:t>(гр. 10/ гр. 6*100)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выполненных мероприятиях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BA747B" w:rsidRPr="00043DCC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CC">
              <w:rPr>
                <w:rFonts w:ascii="Times New Roman" w:hAnsi="Times New Roman" w:cs="Times New Roman"/>
                <w:sz w:val="16"/>
                <w:szCs w:val="16"/>
              </w:rPr>
              <w:t>(причины частичного или полного неисполнения каких-либо мероприятий Программы)</w:t>
            </w:r>
          </w:p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7B" w:rsidRPr="00BA747B" w:rsidTr="00043DCC">
        <w:trPr>
          <w:cantSplit/>
          <w:trHeight w:val="607"/>
        </w:trPr>
        <w:tc>
          <w:tcPr>
            <w:tcW w:w="35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7B" w:rsidRPr="00BA747B" w:rsidTr="00043DCC">
        <w:trPr>
          <w:cantSplit/>
          <w:trHeight w:val="42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A747B" w:rsidRPr="00BA747B" w:rsidTr="00043DCC">
        <w:trPr>
          <w:cantSplit/>
          <w:trHeight w:val="588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торговли в  Усть-Абаканском районе (2016-2020 годы)</w:t>
            </w:r>
          </w:p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043DCC" w:rsidRDefault="00BA747B" w:rsidP="00043D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1.Мероприятия, направленные на стимулирование деловой активности хозяйствующих субъектов, осуществляющих торговую деятельность (Проведение районного конкурса "Лучшее предприятие торговли" ) - 35,0 тыс.руб.;                                                                                                        2.Иные межбюджетные трансферты на компенсацию затрат по доставке продуктовых и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непродуктовых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 жителям иных населенных пунктов, не имеющих стационарных точек торговли (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охов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- 55,0 тыс.руб.;                                                                       3.Компенсация затрат по доставке продуктовых и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непродуктовых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 жителям малых и </w:t>
            </w:r>
            <w:proofErr w:type="gram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отдаленных сел, не имеющих стационарных точек торговли (софинансирование за счет средств республиканского бюджета:</w:t>
            </w:r>
            <w:proofErr w:type="gram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Райковскому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сельсовету 50015,41 руб. по доставке товаров в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аал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Шурышев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Опытненскому</w:t>
            </w:r>
            <w:proofErr w:type="spell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сельсовету 2898,9 руб. за доставку товаров в д</w:t>
            </w:r>
            <w:proofErr w:type="gramStart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43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аря.)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47B" w:rsidRPr="00BA747B" w:rsidRDefault="00BA747B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Районный конкурс «Лучшее предприятие торговли» был проведен в конце 2018 года. В связи с недостатком финансирования было выделено только 35,0 тыс. руб. Вся выделенная сумма была освоена.</w:t>
            </w:r>
          </w:p>
        </w:tc>
      </w:tr>
      <w:tr w:rsidR="00D83B84" w:rsidRPr="00BA747B" w:rsidTr="005D5987">
        <w:trPr>
          <w:cantSplit/>
          <w:trHeight w:val="480"/>
        </w:trPr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7B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B84" w:rsidRPr="00BA747B" w:rsidRDefault="00D83B84" w:rsidP="00BA74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47B" w:rsidRPr="00BA747B" w:rsidRDefault="00BA747B" w:rsidP="00BA74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747B" w:rsidRDefault="00BA747B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A747B" w:rsidSect="00674159">
          <w:pgSz w:w="16838" w:h="11906" w:orient="landscape"/>
          <w:pgMar w:top="993" w:right="454" w:bottom="567" w:left="510" w:header="709" w:footer="709" w:gutter="0"/>
          <w:cols w:space="708"/>
          <w:docGrid w:linePitch="360"/>
        </w:sectPr>
      </w:pPr>
    </w:p>
    <w:p w:rsidR="00EF1198" w:rsidRPr="00674159" w:rsidRDefault="00270A08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741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270A08" w:rsidRPr="00674159" w:rsidRDefault="00270A08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74159">
        <w:rPr>
          <w:rFonts w:ascii="Times New Roman" w:hAnsi="Times New Roman" w:cs="Times New Roman"/>
          <w:b/>
          <w:sz w:val="26"/>
          <w:szCs w:val="26"/>
        </w:rPr>
        <w:t xml:space="preserve">о реализации муниципальной программы </w:t>
      </w:r>
      <w:r w:rsidR="00EF1198" w:rsidRPr="00674159">
        <w:rPr>
          <w:rFonts w:ascii="Times New Roman" w:hAnsi="Times New Roman" w:cs="Times New Roman"/>
          <w:b/>
          <w:sz w:val="26"/>
          <w:szCs w:val="26"/>
        </w:rPr>
        <w:t xml:space="preserve">«Развитие торговли в  Усть-Абаканском районе (2016-2020 годы)» </w:t>
      </w:r>
      <w:r w:rsidRPr="00674159">
        <w:rPr>
          <w:rFonts w:ascii="Times New Roman" w:hAnsi="Times New Roman" w:cs="Times New Roman"/>
          <w:b/>
          <w:sz w:val="26"/>
          <w:szCs w:val="26"/>
        </w:rPr>
        <w:t>за 2018г.</w:t>
      </w:r>
    </w:p>
    <w:p w:rsidR="00270A08" w:rsidRPr="00674159" w:rsidRDefault="00270A08" w:rsidP="002A03E9">
      <w:pPr>
        <w:autoSpaceDE w:val="0"/>
        <w:autoSpaceDN w:val="0"/>
        <w:adjustRightInd w:val="0"/>
        <w:spacing w:after="0" w:line="240" w:lineRule="auto"/>
        <w:ind w:left="-142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70A08" w:rsidRDefault="00270A08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 xml:space="preserve">а) </w:t>
      </w:r>
      <w:r w:rsidRPr="00F73993">
        <w:rPr>
          <w:rFonts w:ascii="Times New Roman" w:eastAsia="Times New Roman" w:hAnsi="Times New Roman" w:cs="Times New Roman"/>
          <w:i/>
          <w:sz w:val="26"/>
          <w:szCs w:val="26"/>
        </w:rPr>
        <w:t>Описание ситуации в сфере реализации программы на начало</w:t>
      </w:r>
      <w:r w:rsidR="00674159"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отчетного финансового года (масштаб существующей проблемы в </w:t>
      </w:r>
      <w:r w:rsidR="00F73993" w:rsidRPr="00F73993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Усть-Абаканском районе</w:t>
      </w:r>
      <w:r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, а также оценка положения </w:t>
      </w:r>
      <w:r w:rsidR="00F73993" w:rsidRPr="00F73993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Усть-Абаканского района</w:t>
      </w:r>
      <w:r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фоне </w:t>
      </w:r>
      <w:r w:rsidR="00F73993"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Республики Хакасия </w:t>
      </w:r>
      <w:r w:rsidRP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года)</w:t>
      </w:r>
    </w:p>
    <w:p w:rsidR="00D83B84" w:rsidRPr="00674159" w:rsidRDefault="00D83B84" w:rsidP="002A03E9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72B6A" w:rsidRPr="00674159" w:rsidRDefault="00372B6A" w:rsidP="002A03E9">
      <w:pPr>
        <w:pStyle w:val="ConsPlusNormal"/>
        <w:widowControl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последних лет – одна 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 xml:space="preserve"> наиболее быстро 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развивающихся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 xml:space="preserve"> отраслей экономики района. </w:t>
      </w:r>
    </w:p>
    <w:p w:rsidR="00F73993" w:rsidRDefault="00F73993" w:rsidP="002A03E9">
      <w:pPr>
        <w:pStyle w:val="ConsPlusNormal"/>
        <w:widowControl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01.01.2018</w:t>
      </w:r>
      <w:r w:rsidRPr="009D23D9">
        <w:rPr>
          <w:rFonts w:ascii="Times New Roman" w:hAnsi="Times New Roman" w:cs="Times New Roman"/>
          <w:sz w:val="26"/>
          <w:szCs w:val="26"/>
        </w:rPr>
        <w:t xml:space="preserve">г. на территории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9D23D9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9D23D9">
        <w:rPr>
          <w:rFonts w:ascii="Times New Roman" w:hAnsi="Times New Roman" w:cs="Times New Roman"/>
          <w:sz w:val="26"/>
          <w:szCs w:val="26"/>
        </w:rPr>
        <w:t xml:space="preserve">количество действующих </w:t>
      </w:r>
      <w:r>
        <w:rPr>
          <w:rFonts w:ascii="Times New Roman" w:hAnsi="Times New Roman" w:cs="Times New Roman"/>
          <w:sz w:val="26"/>
          <w:szCs w:val="26"/>
        </w:rPr>
        <w:t>торговых предприятий</w:t>
      </w:r>
      <w:r w:rsidRPr="009D23D9">
        <w:rPr>
          <w:rFonts w:ascii="Times New Roman" w:hAnsi="Times New Roman" w:cs="Times New Roman"/>
          <w:sz w:val="26"/>
          <w:szCs w:val="26"/>
        </w:rPr>
        <w:t xml:space="preserve"> составило </w:t>
      </w:r>
      <w:r>
        <w:rPr>
          <w:rFonts w:ascii="Times New Roman" w:hAnsi="Times New Roman" w:cs="Times New Roman"/>
          <w:sz w:val="26"/>
          <w:szCs w:val="26"/>
        </w:rPr>
        <w:t>284, в том числе 56 продовольственных</w:t>
      </w:r>
      <w:r w:rsidRPr="009D23D9">
        <w:rPr>
          <w:rFonts w:ascii="Times New Roman" w:hAnsi="Times New Roman" w:cs="Times New Roman"/>
          <w:sz w:val="26"/>
          <w:szCs w:val="26"/>
        </w:rPr>
        <w:t xml:space="preserve"> магазин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D23D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9D23D9">
        <w:rPr>
          <w:rFonts w:ascii="Times New Roman" w:hAnsi="Times New Roman" w:cs="Times New Roman"/>
          <w:sz w:val="26"/>
          <w:szCs w:val="26"/>
        </w:rPr>
        <w:t xml:space="preserve"> непродовольственный магазин, </w:t>
      </w:r>
      <w:r>
        <w:rPr>
          <w:rFonts w:ascii="Times New Roman" w:hAnsi="Times New Roman" w:cs="Times New Roman"/>
          <w:sz w:val="26"/>
          <w:szCs w:val="26"/>
        </w:rPr>
        <w:t>110 магазина</w:t>
      </w:r>
      <w:r w:rsidRPr="009D23D9">
        <w:rPr>
          <w:rFonts w:ascii="Times New Roman" w:hAnsi="Times New Roman" w:cs="Times New Roman"/>
          <w:sz w:val="26"/>
          <w:szCs w:val="26"/>
        </w:rPr>
        <w:t xml:space="preserve"> со смешанным ассортиментом, </w:t>
      </w:r>
      <w:r>
        <w:rPr>
          <w:rFonts w:ascii="Times New Roman" w:hAnsi="Times New Roman" w:cs="Times New Roman"/>
          <w:sz w:val="26"/>
          <w:szCs w:val="26"/>
        </w:rPr>
        <w:t>31 иных объекта и 25 нестационарных торговых объектов.</w:t>
      </w:r>
    </w:p>
    <w:p w:rsidR="00372B6A" w:rsidRPr="00674159" w:rsidRDefault="00372B6A" w:rsidP="002A03E9">
      <w:pPr>
        <w:pStyle w:val="ConsPlusNormal"/>
        <w:widowControl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На </w:t>
      </w:r>
      <w:r w:rsidRPr="00F73993">
        <w:rPr>
          <w:rFonts w:ascii="Times New Roman" w:hAnsi="Times New Roman" w:cs="Times New Roman"/>
          <w:sz w:val="26"/>
          <w:szCs w:val="26"/>
        </w:rPr>
        <w:t>01.01.2019г.</w:t>
      </w:r>
      <w:r w:rsidRPr="00674159">
        <w:rPr>
          <w:rFonts w:ascii="Times New Roman" w:hAnsi="Times New Roman" w:cs="Times New Roman"/>
          <w:sz w:val="26"/>
          <w:szCs w:val="26"/>
        </w:rPr>
        <w:t xml:space="preserve"> на территории Усть-Абаканского района количество действующих торговых предприятий составило 272, в том числе 50 продовольственных магазинов, 54 непродовольственных магазина, 115 магазинов со смешанным ассортиментом, 30 иных объектов и 23 нестационарных торговых объекта.</w:t>
      </w:r>
    </w:p>
    <w:p w:rsidR="00372B6A" w:rsidRPr="00674159" w:rsidRDefault="00372B6A" w:rsidP="002A03E9">
      <w:pPr>
        <w:pStyle w:val="a3"/>
        <w:ind w:left="-142" w:firstLine="708"/>
        <w:rPr>
          <w:szCs w:val="26"/>
        </w:rPr>
      </w:pPr>
      <w:r w:rsidRPr="00674159">
        <w:rPr>
          <w:szCs w:val="26"/>
        </w:rPr>
        <w:t xml:space="preserve">Оборот розничной торговли </w:t>
      </w:r>
      <w:r w:rsidR="00674159" w:rsidRPr="00674159">
        <w:rPr>
          <w:szCs w:val="26"/>
        </w:rPr>
        <w:t xml:space="preserve">в 2018 году составил - </w:t>
      </w:r>
      <w:r w:rsidRPr="00674159">
        <w:rPr>
          <w:szCs w:val="26"/>
        </w:rPr>
        <w:t>1331,9 млн</w:t>
      </w:r>
      <w:proofErr w:type="gramStart"/>
      <w:r w:rsidRPr="00674159">
        <w:rPr>
          <w:szCs w:val="26"/>
        </w:rPr>
        <w:t>.р</w:t>
      </w:r>
      <w:proofErr w:type="gramEnd"/>
      <w:r w:rsidRPr="00674159">
        <w:rPr>
          <w:szCs w:val="26"/>
        </w:rPr>
        <w:t>уб. (128 % к  уровню 2017 года в сопоставимых ценах).</w:t>
      </w:r>
    </w:p>
    <w:p w:rsidR="00372B6A" w:rsidRPr="00674159" w:rsidRDefault="00372B6A" w:rsidP="002A03E9">
      <w:pPr>
        <w:pStyle w:val="a3"/>
        <w:ind w:left="-142" w:firstLine="708"/>
        <w:rPr>
          <w:szCs w:val="26"/>
        </w:rPr>
      </w:pPr>
      <w:r w:rsidRPr="00674159">
        <w:rPr>
          <w:szCs w:val="26"/>
        </w:rPr>
        <w:t>Оборот розничной торговли муниципального образования Усть-Абаканский район в расчёте на душу населения за 2018 год составил – 31,94 тыс. руб.</w:t>
      </w:r>
    </w:p>
    <w:p w:rsidR="00372B6A" w:rsidRPr="00674159" w:rsidRDefault="00372B6A" w:rsidP="002A03E9">
      <w:pPr>
        <w:pStyle w:val="a3"/>
        <w:ind w:left="-142" w:firstLine="708"/>
        <w:rPr>
          <w:szCs w:val="26"/>
        </w:rPr>
      </w:pPr>
      <w:r w:rsidRPr="00674159">
        <w:rPr>
          <w:szCs w:val="26"/>
        </w:rPr>
        <w:t>Оборот розничной торговли Республики Хакасия в расчёте на душу населения за 2018 год составил – 29,61 тыс. руб.</w:t>
      </w:r>
    </w:p>
    <w:p w:rsidR="00372B6A" w:rsidRPr="00674159" w:rsidRDefault="00372B6A" w:rsidP="002A03E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Эффективность бизнеса торговой отрасли напрямую зависит от экономического положения населения Усть-Абаканского района. Часть жителей района сокращает  уровень потребления в силу снижения доходов, недоступности дешевых кредитов, а также заметного  роста цен на товары.</w:t>
      </w:r>
    </w:p>
    <w:p w:rsidR="00372B6A" w:rsidRPr="00674159" w:rsidRDefault="00372B6A" w:rsidP="002A03E9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Сегодня малые села и иные </w:t>
      </w:r>
      <w:proofErr w:type="gramStart"/>
      <w:r w:rsidR="00674159" w:rsidRPr="00674159">
        <w:rPr>
          <w:rFonts w:ascii="Times New Roman" w:hAnsi="Times New Roman" w:cs="Times New Roman"/>
          <w:sz w:val="26"/>
          <w:szCs w:val="26"/>
        </w:rPr>
        <w:t>отдаленные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 xml:space="preserve"> и труднодоступные территории характеризуются острым дефицитом или даже полным отсутствием торговых площадей (д.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Салбык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, д. Камышовая, д. Камызяк, аал Трояков, п.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Кирба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, д. Заря,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Шурышев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, п.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Тигей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 Бейка, п. Майский, п.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Уйбат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>).  С ростом оттока молодого населения из таких населенных пунктов, они становятся всё менее привлекательными для развития торговли, что в конечном итоге приводит к закрытию существовавших там магазинов, и, как следствие, сокращению обеспеченности жителей товарами первой необходимости.</w:t>
      </w:r>
    </w:p>
    <w:p w:rsidR="00372B6A" w:rsidRPr="00674159" w:rsidRDefault="00372B6A" w:rsidP="002A03E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Одной из наиболее острых проблем, препятствующих развитию сектора торговли в Усть-Абаканском районе, является </w:t>
      </w:r>
      <w:r w:rsidRPr="00F73993">
        <w:rPr>
          <w:rFonts w:ascii="Times New Roman" w:hAnsi="Times New Roman" w:cs="Times New Roman"/>
          <w:sz w:val="26"/>
          <w:szCs w:val="26"/>
        </w:rPr>
        <w:t>недостаточный уровень развития инфраструктуры розничной торговли,</w:t>
      </w:r>
      <w:r w:rsidRPr="00674159">
        <w:rPr>
          <w:rFonts w:ascii="Times New Roman" w:hAnsi="Times New Roman" w:cs="Times New Roman"/>
          <w:sz w:val="26"/>
          <w:szCs w:val="26"/>
        </w:rPr>
        <w:t xml:space="preserve"> неприспособленность инфраструктуры для развития современных форматов торговли, недостаточные темпы и объемы строительства новых торговых площадей.</w:t>
      </w:r>
    </w:p>
    <w:p w:rsidR="00372B6A" w:rsidRPr="00674159" w:rsidRDefault="00372B6A" w:rsidP="002A03E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Размещение сети торговых объектов на территории муниципального образования характеризуется неравномерностью по муниципальным поселениям.</w:t>
      </w:r>
    </w:p>
    <w:p w:rsidR="002A03E9" w:rsidRDefault="002A03E9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A03E9" w:rsidRDefault="002A03E9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Default="00270A08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б) Перечень мероприятий, реализуемых в рамках </w:t>
      </w:r>
      <w:r w:rsidR="00F73993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муниципальной </w:t>
      </w:r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2A03E9" w:rsidRPr="00674159" w:rsidRDefault="002A03E9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color w:val="C00000"/>
          <w:sz w:val="26"/>
          <w:szCs w:val="26"/>
        </w:rPr>
      </w:pPr>
    </w:p>
    <w:p w:rsidR="00372B6A" w:rsidRPr="00674159" w:rsidRDefault="00372B6A" w:rsidP="002A03E9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В 2018 году на реализацию программы «Развитие торговли в Усть-Абаканском районе (2016-2020 годы)» было запланировано </w:t>
      </w:r>
      <w:r w:rsidRPr="006741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157,914 </w:t>
      </w:r>
      <w:r w:rsidRPr="00674159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>уб., в том числе: 105,0 тыс.руб. средства муниципального бюджета, 52,914 тыс.руб. средства республиканского бюджета. На конец отчетного периода кассовые расходы составили 142,914 тыс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 xml:space="preserve">уб., что составляет 91% исполнения муниципальной программы. </w:t>
      </w:r>
    </w:p>
    <w:p w:rsidR="00040EB0" w:rsidRPr="00674159" w:rsidRDefault="00372B6A" w:rsidP="002A03E9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74159">
        <w:rPr>
          <w:rFonts w:ascii="Times New Roman" w:hAnsi="Times New Roman" w:cs="Times New Roman"/>
          <w:sz w:val="26"/>
          <w:szCs w:val="26"/>
        </w:rPr>
        <w:t xml:space="preserve">Мероприятия, направленные на стимулирование деловой активности хозяйствующих субъектов, осуществляющих торговую деятельность (проведение районного конкурса </w:t>
      </w:r>
      <w:r w:rsidR="00D83B84">
        <w:rPr>
          <w:rFonts w:ascii="Times New Roman" w:hAnsi="Times New Roman" w:cs="Times New Roman"/>
          <w:sz w:val="26"/>
          <w:szCs w:val="26"/>
        </w:rPr>
        <w:t>«</w:t>
      </w:r>
      <w:r w:rsidRPr="00674159">
        <w:rPr>
          <w:rFonts w:ascii="Times New Roman" w:hAnsi="Times New Roman" w:cs="Times New Roman"/>
          <w:sz w:val="26"/>
          <w:szCs w:val="26"/>
        </w:rPr>
        <w:t>Лучшее предприя</w:t>
      </w:r>
      <w:r w:rsidR="00407484" w:rsidRPr="00674159">
        <w:rPr>
          <w:rFonts w:ascii="Times New Roman" w:hAnsi="Times New Roman" w:cs="Times New Roman"/>
          <w:sz w:val="26"/>
          <w:szCs w:val="26"/>
        </w:rPr>
        <w:t>тие торговли</w:t>
      </w:r>
      <w:r w:rsidR="00D83B84">
        <w:rPr>
          <w:rFonts w:ascii="Times New Roman" w:hAnsi="Times New Roman" w:cs="Times New Roman"/>
          <w:sz w:val="26"/>
          <w:szCs w:val="26"/>
        </w:rPr>
        <w:t>»</w:t>
      </w:r>
      <w:r w:rsidR="00407484" w:rsidRPr="00674159">
        <w:rPr>
          <w:rFonts w:ascii="Times New Roman" w:hAnsi="Times New Roman" w:cs="Times New Roman"/>
          <w:sz w:val="26"/>
          <w:szCs w:val="26"/>
        </w:rPr>
        <w:t xml:space="preserve">) выполнены на 70%, </w:t>
      </w:r>
      <w:r w:rsidR="00040EB0" w:rsidRPr="00674159">
        <w:rPr>
          <w:rFonts w:ascii="Times New Roman" w:hAnsi="Times New Roman" w:cs="Times New Roman"/>
          <w:sz w:val="26"/>
          <w:szCs w:val="26"/>
        </w:rPr>
        <w:t>по причине того</w:t>
      </w:r>
      <w:r w:rsidR="00407484" w:rsidRPr="00674159">
        <w:rPr>
          <w:rFonts w:ascii="Times New Roman" w:hAnsi="Times New Roman" w:cs="Times New Roman"/>
          <w:sz w:val="26"/>
          <w:szCs w:val="26"/>
        </w:rPr>
        <w:t xml:space="preserve">, что данный конкурс проводился в конце финансового года и </w:t>
      </w:r>
      <w:r w:rsidR="00040EB0" w:rsidRPr="00674159">
        <w:rPr>
          <w:rFonts w:ascii="Times New Roman" w:hAnsi="Times New Roman" w:cs="Times New Roman"/>
          <w:sz w:val="26"/>
          <w:szCs w:val="26"/>
        </w:rPr>
        <w:t xml:space="preserve">в связи с недостатком финансирования </w:t>
      </w:r>
      <w:r w:rsidR="00040EB0" w:rsidRPr="00674159">
        <w:rPr>
          <w:rFonts w:ascii="Times New Roman" w:hAnsi="Times New Roman" w:cs="Times New Roman"/>
          <w:bCs/>
          <w:sz w:val="26"/>
          <w:szCs w:val="26"/>
        </w:rPr>
        <w:t>было выделено только 35,0 тыс. руб. Вся выделенная сумма была освоена.</w:t>
      </w:r>
      <w:proofErr w:type="gramEnd"/>
    </w:p>
    <w:p w:rsidR="00372B6A" w:rsidRPr="00674159" w:rsidRDefault="00372B6A" w:rsidP="002A03E9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4159">
        <w:rPr>
          <w:rFonts w:ascii="Times New Roman" w:hAnsi="Times New Roman" w:cs="Times New Roman"/>
          <w:sz w:val="26"/>
          <w:szCs w:val="26"/>
        </w:rPr>
        <w:t xml:space="preserve">Мероприятие «Компенсация затрат по доставке продуктовых и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непродуктовых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 товаров жителям малых и отдаленных сел, не имеющих стационарных точек торговли» реализовано на 100%. Перечислена субсидия из республиканского бюджета Республики Хакасия согласно дополнительного соглашения №2 от 14.02.2018г. к соглашению с Министерством экономического развития № 050-7/5-с (дополнительное соглашение № 1) от 14.12.2017г., за понесенные затраты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Райковскому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 сельсовету </w:t>
      </w:r>
      <w:r w:rsidRPr="00F73993">
        <w:rPr>
          <w:rFonts w:ascii="Times New Roman" w:hAnsi="Times New Roman" w:cs="Times New Roman"/>
          <w:sz w:val="26"/>
          <w:szCs w:val="26"/>
        </w:rPr>
        <w:t>50</w:t>
      </w:r>
      <w:r w:rsidR="00F73993" w:rsidRPr="00F73993">
        <w:rPr>
          <w:rFonts w:ascii="Times New Roman" w:hAnsi="Times New Roman" w:cs="Times New Roman"/>
          <w:sz w:val="26"/>
          <w:szCs w:val="26"/>
        </w:rPr>
        <w:t>,</w:t>
      </w:r>
      <w:r w:rsidRPr="00F73993">
        <w:rPr>
          <w:rFonts w:ascii="Times New Roman" w:hAnsi="Times New Roman" w:cs="Times New Roman"/>
          <w:sz w:val="26"/>
          <w:szCs w:val="26"/>
        </w:rPr>
        <w:t>015</w:t>
      </w:r>
      <w:r w:rsidR="00F73993" w:rsidRPr="00F73993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F73993">
        <w:rPr>
          <w:rFonts w:ascii="Times New Roman" w:hAnsi="Times New Roman" w:cs="Times New Roman"/>
          <w:sz w:val="26"/>
          <w:szCs w:val="26"/>
        </w:rPr>
        <w:t>руб. по доставке</w:t>
      </w:r>
      <w:proofErr w:type="gramEnd"/>
      <w:r w:rsidRPr="00F73993">
        <w:rPr>
          <w:rFonts w:ascii="Times New Roman" w:hAnsi="Times New Roman" w:cs="Times New Roman"/>
          <w:sz w:val="26"/>
          <w:szCs w:val="26"/>
        </w:rPr>
        <w:t xml:space="preserve"> товаров в </w:t>
      </w:r>
      <w:proofErr w:type="spellStart"/>
      <w:r w:rsidRPr="00F73993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F739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3993">
        <w:rPr>
          <w:rFonts w:ascii="Times New Roman" w:hAnsi="Times New Roman" w:cs="Times New Roman"/>
          <w:sz w:val="26"/>
          <w:szCs w:val="26"/>
        </w:rPr>
        <w:t>Шурышев</w:t>
      </w:r>
      <w:proofErr w:type="spellEnd"/>
      <w:r w:rsidRPr="00F739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73993">
        <w:rPr>
          <w:rFonts w:ascii="Times New Roman" w:hAnsi="Times New Roman" w:cs="Times New Roman"/>
          <w:sz w:val="26"/>
          <w:szCs w:val="26"/>
        </w:rPr>
        <w:t>Опытненскому</w:t>
      </w:r>
      <w:proofErr w:type="spellEnd"/>
      <w:r w:rsidRPr="00F73993">
        <w:rPr>
          <w:rFonts w:ascii="Times New Roman" w:hAnsi="Times New Roman" w:cs="Times New Roman"/>
          <w:sz w:val="26"/>
          <w:szCs w:val="26"/>
        </w:rPr>
        <w:t xml:space="preserve"> сельсовету 2</w:t>
      </w:r>
      <w:r w:rsidR="00F73993" w:rsidRPr="00F73993">
        <w:rPr>
          <w:rFonts w:ascii="Times New Roman" w:hAnsi="Times New Roman" w:cs="Times New Roman"/>
          <w:sz w:val="26"/>
          <w:szCs w:val="26"/>
        </w:rPr>
        <w:t xml:space="preserve">,899 тыс. </w:t>
      </w:r>
      <w:r w:rsidRPr="00F73993">
        <w:rPr>
          <w:rFonts w:ascii="Times New Roman" w:hAnsi="Times New Roman" w:cs="Times New Roman"/>
          <w:sz w:val="26"/>
          <w:szCs w:val="26"/>
        </w:rPr>
        <w:t>руб.</w:t>
      </w:r>
      <w:r w:rsidRPr="00674159">
        <w:rPr>
          <w:rFonts w:ascii="Times New Roman" w:hAnsi="Times New Roman" w:cs="Times New Roman"/>
          <w:sz w:val="26"/>
          <w:szCs w:val="26"/>
        </w:rPr>
        <w:t xml:space="preserve"> за доставку товаров в д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>аря).</w:t>
      </w:r>
    </w:p>
    <w:p w:rsidR="00372B6A" w:rsidRPr="00674159" w:rsidRDefault="00372B6A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Исполнение мероприятия «Иные межбюджетные трансферты на компенсацию затрат по доставке продуктовых и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непродуктовых</w:t>
      </w:r>
      <w:proofErr w:type="spellEnd"/>
      <w:r w:rsidRPr="00674159">
        <w:rPr>
          <w:rFonts w:ascii="Times New Roman" w:hAnsi="Times New Roman" w:cs="Times New Roman"/>
          <w:sz w:val="26"/>
          <w:szCs w:val="26"/>
        </w:rPr>
        <w:t xml:space="preserve"> товаров жителям иных населенных пунктов, не имеющих стационарных точек торговли» составило 100%. Это компенсация затрат в размере 55,0 тыс</w:t>
      </w:r>
      <w:proofErr w:type="gramStart"/>
      <w:r w:rsidRPr="0067415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74159">
        <w:rPr>
          <w:rFonts w:ascii="Times New Roman" w:hAnsi="Times New Roman" w:cs="Times New Roman"/>
          <w:sz w:val="26"/>
          <w:szCs w:val="26"/>
        </w:rPr>
        <w:t>уб. Московскому потребительскому обществу за доставку продуктовых и не продуктовых товаров жителям аал Мохов.</w:t>
      </w:r>
    </w:p>
    <w:p w:rsidR="00372B6A" w:rsidRPr="00674159" w:rsidRDefault="00372B6A" w:rsidP="002A03E9">
      <w:p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0A08" w:rsidRPr="00D83B84" w:rsidRDefault="00270A08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83B84">
        <w:rPr>
          <w:rFonts w:ascii="Times New Roman" w:eastAsia="Times New Roman" w:hAnsi="Times New Roman" w:cs="Times New Roman"/>
          <w:i/>
          <w:sz w:val="26"/>
          <w:szCs w:val="26"/>
        </w:rPr>
        <w:t xml:space="preserve">в) </w:t>
      </w:r>
      <w:r w:rsidR="00F73993">
        <w:rPr>
          <w:rFonts w:ascii="Times New Roman" w:eastAsia="Times New Roman" w:hAnsi="Times New Roman" w:cs="Times New Roman"/>
          <w:i/>
          <w:sz w:val="26"/>
          <w:szCs w:val="26"/>
        </w:rPr>
        <w:t>оценка эффективности муниципальной программы в соответствии с порядком проведения оценки эффективности реализации муниципальной программы</w:t>
      </w:r>
    </w:p>
    <w:p w:rsidR="00D83B84" w:rsidRDefault="00D83B84" w:rsidP="002A03E9">
      <w:p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3B84" w:rsidRDefault="00D83B84" w:rsidP="002A03E9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554">
        <w:rPr>
          <w:rFonts w:ascii="Times New Roman" w:hAnsi="Times New Roman" w:cs="Times New Roman"/>
          <w:sz w:val="26"/>
          <w:szCs w:val="26"/>
        </w:rPr>
        <w:t>Оценка эффективности муниципальной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D4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получена</w:t>
      </w:r>
      <w:r w:rsidRPr="005D455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4" w:history="1">
        <w:r w:rsidRPr="005D455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D4554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  <w:r w:rsidRPr="005720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представлена в таблице 1.</w:t>
      </w:r>
    </w:p>
    <w:p w:rsidR="00D83B84" w:rsidRDefault="00D83B84" w:rsidP="002A03E9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</w:t>
      </w:r>
    </w:p>
    <w:p w:rsidR="00372B6A" w:rsidRPr="00674159" w:rsidRDefault="00372B6A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ОТЧЕТ</w:t>
      </w:r>
    </w:p>
    <w:p w:rsidR="00372B6A" w:rsidRPr="00674159" w:rsidRDefault="00372B6A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об оценке эффективности реализации </w:t>
      </w:r>
    </w:p>
    <w:p w:rsidR="002A03E9" w:rsidRDefault="00372B6A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D83B84" w:rsidRPr="00674159">
        <w:rPr>
          <w:rFonts w:ascii="Times New Roman" w:hAnsi="Times New Roman" w:cs="Times New Roman"/>
          <w:sz w:val="26"/>
          <w:szCs w:val="26"/>
        </w:rPr>
        <w:t xml:space="preserve">«Развитие торговли в  Усть-Абаканском районе </w:t>
      </w:r>
    </w:p>
    <w:p w:rsidR="00372B6A" w:rsidRDefault="00D83B84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(2016-2020 годы)»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2B6A" w:rsidRPr="00674159">
        <w:rPr>
          <w:rFonts w:ascii="Times New Roman" w:hAnsi="Times New Roman" w:cs="Times New Roman"/>
          <w:sz w:val="26"/>
          <w:szCs w:val="26"/>
        </w:rPr>
        <w:t>за 2018 г.</w:t>
      </w:r>
    </w:p>
    <w:p w:rsidR="00D83B84" w:rsidRDefault="00D83B84" w:rsidP="002A03E9">
      <w:pPr>
        <w:autoSpaceDE w:val="0"/>
        <w:autoSpaceDN w:val="0"/>
        <w:adjustRightInd w:val="0"/>
        <w:spacing w:after="0" w:line="240" w:lineRule="auto"/>
        <w:ind w:left="-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134"/>
        <w:gridCol w:w="1701"/>
        <w:gridCol w:w="1276"/>
        <w:gridCol w:w="850"/>
        <w:gridCol w:w="2127"/>
      </w:tblGrid>
      <w:tr w:rsidR="00D83B84" w:rsidRPr="002A03E9" w:rsidTr="002A03E9">
        <w:trPr>
          <w:trHeight w:val="40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83B84" w:rsidRPr="002A03E9" w:rsidTr="002A03E9">
        <w:trPr>
          <w:trHeight w:val="8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Normal"/>
              <w:ind w:left="-75"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  <w:p w:rsidR="00D83B84" w:rsidRPr="002A03E9" w:rsidRDefault="00D83B84" w:rsidP="002A03E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B84" w:rsidRPr="002A03E9" w:rsidRDefault="00D83B84" w:rsidP="002A03E9">
            <w:pPr>
              <w:pStyle w:val="ConsPlusCel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65" w:rsidRPr="002A03E9" w:rsidTr="002A03E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населения площадью торговых объектов,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. кв. (в расчете на 1000 человек)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493,3</w:t>
            </w:r>
          </w:p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2A03E9" w:rsidRDefault="00844F55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Превышает утвержденный целевой показатель</w:t>
            </w:r>
          </w:p>
        </w:tc>
      </w:tr>
      <w:tr w:rsidR="00574D65" w:rsidRPr="002A03E9" w:rsidTr="000C37A5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Количество ярмарок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2A03E9" w:rsidRDefault="00844F55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Количество ярмарок в 2018 г. проведено в соответствии с программой</w:t>
            </w:r>
          </w:p>
        </w:tc>
      </w:tr>
      <w:tr w:rsidR="00574D65" w:rsidRPr="002A03E9" w:rsidTr="002A03E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Усть-Абаканский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2A03E9" w:rsidRDefault="009C0C21" w:rsidP="002A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Количество предпринимателей сократилось, а доходы консолидированного бюджета МО Усть-Абаканский район выросли в два раза за счет увеличившихся поступлений налогов от добывающих компаний</w:t>
            </w:r>
          </w:p>
        </w:tc>
      </w:tr>
      <w:tr w:rsidR="00574D65" w:rsidRPr="002A03E9" w:rsidTr="002A03E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4. Количество малых сел и иных населенных пунктов района, не имеющих стационарных точек торговли, обеспеченных разъездной торговлей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65" w:rsidRPr="002A03E9" w:rsidRDefault="00574D65" w:rsidP="002A03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65" w:rsidRPr="002A03E9" w:rsidRDefault="00844F55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потребительское общество обеспечивает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охов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разъездной торговлей</w:t>
            </w:r>
          </w:p>
        </w:tc>
      </w:tr>
      <w:tr w:rsidR="00D83B84" w:rsidRPr="002A03E9" w:rsidTr="002A03E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73993" w:rsidRPr="002A0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83B84" w:rsidRPr="002A03E9" w:rsidTr="002A03E9">
        <w:trPr>
          <w:trHeight w:val="8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   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итоговой сводной     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оценке, процентов        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84" w:rsidRPr="002A03E9" w:rsidRDefault="00D83B84" w:rsidP="002A03E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итоговой сводной оценке программа </w:t>
            </w:r>
            <w:r w:rsidR="00803C75"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>имеет средний уровень эффективности</w:t>
            </w:r>
            <w:r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Целевые показатели программы за 2018 год </w:t>
            </w:r>
            <w:r w:rsidR="00803C75"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достигнуты</w:t>
            </w:r>
            <w:r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="00803C75"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>75</w:t>
            </w:r>
            <w:r w:rsidRPr="002A03E9">
              <w:rPr>
                <w:rFonts w:ascii="Times New Roman" w:hAnsi="Times New Roman" w:cs="Times New Roman"/>
                <w:b w:val="0"/>
                <w:sz w:val="24"/>
                <w:szCs w:val="24"/>
              </w:rPr>
              <w:t>% .</w:t>
            </w:r>
          </w:p>
        </w:tc>
      </w:tr>
    </w:tbl>
    <w:p w:rsidR="00F66C0C" w:rsidRDefault="00F66C0C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3B84" w:rsidRPr="00674159" w:rsidRDefault="00D83B84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По трем из четырех показателей муниципальная программа реализована эффективно:</w:t>
      </w:r>
    </w:p>
    <w:p w:rsidR="00D83B84" w:rsidRPr="00674159" w:rsidRDefault="00D83B84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- обеспеченность населения площадью торговых объектов, м. кв. (в расчете на 1000 человек) превышает </w:t>
      </w:r>
      <w:r w:rsidRPr="00F73993">
        <w:rPr>
          <w:rFonts w:ascii="Times New Roman" w:hAnsi="Times New Roman" w:cs="Times New Roman"/>
          <w:sz w:val="26"/>
          <w:szCs w:val="26"/>
        </w:rPr>
        <w:t xml:space="preserve">утвержденный целевой показатель </w:t>
      </w:r>
      <w:r w:rsidR="00F73993" w:rsidRPr="00F73993">
        <w:rPr>
          <w:rFonts w:ascii="Times New Roman" w:hAnsi="Times New Roman" w:cs="Times New Roman"/>
          <w:sz w:val="26"/>
          <w:szCs w:val="26"/>
        </w:rPr>
        <w:t>400</w:t>
      </w:r>
      <w:r w:rsidRPr="00F73993">
        <w:rPr>
          <w:rFonts w:ascii="Times New Roman" w:hAnsi="Times New Roman" w:cs="Times New Roman"/>
          <w:sz w:val="26"/>
          <w:szCs w:val="26"/>
        </w:rPr>
        <w:t xml:space="preserve"> м.кв.</w:t>
      </w:r>
      <w:r w:rsidRPr="00674159">
        <w:rPr>
          <w:rFonts w:ascii="Times New Roman" w:hAnsi="Times New Roman" w:cs="Times New Roman"/>
          <w:sz w:val="26"/>
          <w:szCs w:val="26"/>
        </w:rPr>
        <w:t xml:space="preserve"> и составляет 493,3 м.кв.</w:t>
      </w:r>
      <w:r w:rsidR="002C3CDD">
        <w:rPr>
          <w:rFonts w:ascii="Times New Roman" w:hAnsi="Times New Roman" w:cs="Times New Roman"/>
          <w:sz w:val="26"/>
          <w:szCs w:val="26"/>
        </w:rPr>
        <w:t xml:space="preserve"> (</w:t>
      </w:r>
      <w:r w:rsidR="002C3CDD" w:rsidRPr="00674159">
        <w:rPr>
          <w:rFonts w:ascii="Times New Roman" w:hAnsi="Times New Roman" w:cs="Times New Roman"/>
          <w:sz w:val="26"/>
          <w:szCs w:val="26"/>
        </w:rPr>
        <w:t>20572,6 кв.м</w:t>
      </w:r>
      <w:proofErr w:type="gramStart"/>
      <w:r w:rsidR="002C3CDD" w:rsidRPr="00674159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="002C3CDD" w:rsidRPr="00674159">
        <w:rPr>
          <w:rFonts w:ascii="Times New Roman" w:hAnsi="Times New Roman" w:cs="Times New Roman"/>
          <w:sz w:val="26"/>
          <w:szCs w:val="26"/>
        </w:rPr>
        <w:t>торговая площадь) / 41704 (численность населения) * 1000 = 493,3 кв.м</w:t>
      </w:r>
      <w:r w:rsidR="002C3CDD">
        <w:rPr>
          <w:rFonts w:ascii="Times New Roman" w:hAnsi="Times New Roman" w:cs="Times New Roman"/>
          <w:sz w:val="26"/>
          <w:szCs w:val="26"/>
        </w:rPr>
        <w:t>)</w:t>
      </w:r>
      <w:r w:rsidRPr="00674159">
        <w:rPr>
          <w:rFonts w:ascii="Times New Roman" w:hAnsi="Times New Roman" w:cs="Times New Roman"/>
          <w:sz w:val="26"/>
          <w:szCs w:val="26"/>
        </w:rPr>
        <w:t>;</w:t>
      </w:r>
    </w:p>
    <w:p w:rsidR="00D83B84" w:rsidRPr="00674159" w:rsidRDefault="00D83B84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4159">
        <w:rPr>
          <w:rFonts w:ascii="Times New Roman" w:hAnsi="Times New Roman" w:cs="Times New Roman"/>
          <w:color w:val="000000" w:themeColor="text1"/>
          <w:sz w:val="26"/>
          <w:szCs w:val="26"/>
        </w:rPr>
        <w:t>- утвержденный целевой показатель «</w:t>
      </w:r>
      <w:r w:rsidRPr="00674159">
        <w:rPr>
          <w:rFonts w:ascii="Times New Roman" w:hAnsi="Times New Roman" w:cs="Times New Roman"/>
          <w:sz w:val="26"/>
          <w:szCs w:val="26"/>
        </w:rPr>
        <w:t>Количество малых сел и иных населенных пунктов района, не имеющих стационарных точек торговли, обеспеченных разъездной торговлей» исполнен на 100%. Аал Мохов, не имеющий стационарных точек торговли, в 2018 году обеспечен разъездной торговлей.</w:t>
      </w:r>
    </w:p>
    <w:p w:rsidR="00D83B84" w:rsidRDefault="00D83B84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-целевой показатель «Количество ярмарок в год» исполнен на 100%. В 2018 году проведено 4 я</w:t>
      </w:r>
      <w:r w:rsidR="00BF4226">
        <w:rPr>
          <w:rFonts w:ascii="Times New Roman" w:hAnsi="Times New Roman" w:cs="Times New Roman"/>
          <w:sz w:val="26"/>
          <w:szCs w:val="26"/>
        </w:rPr>
        <w:t>р</w:t>
      </w:r>
      <w:r w:rsidRPr="00674159">
        <w:rPr>
          <w:rFonts w:ascii="Times New Roman" w:hAnsi="Times New Roman" w:cs="Times New Roman"/>
          <w:sz w:val="26"/>
          <w:szCs w:val="26"/>
        </w:rPr>
        <w:t>марки выходного дня, реализовано сельскохозяйственных товаров и продуктов ее переработки  на 2551 тыс. руб.</w:t>
      </w:r>
    </w:p>
    <w:p w:rsidR="00F73993" w:rsidRPr="00674159" w:rsidRDefault="000C37A5" w:rsidP="002A03E9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73993" w:rsidRPr="002C3CDD">
        <w:rPr>
          <w:rFonts w:ascii="Times New Roman" w:hAnsi="Times New Roman" w:cs="Times New Roman"/>
          <w:sz w:val="26"/>
          <w:szCs w:val="26"/>
        </w:rPr>
        <w:t xml:space="preserve">рограмма </w:t>
      </w:r>
      <w:r w:rsidR="00844F55" w:rsidRPr="002C3CDD">
        <w:rPr>
          <w:rFonts w:ascii="Times New Roman" w:hAnsi="Times New Roman" w:cs="Times New Roman"/>
          <w:sz w:val="26"/>
          <w:szCs w:val="26"/>
        </w:rPr>
        <w:t xml:space="preserve">реализована  не эффективно </w:t>
      </w:r>
      <w:r w:rsidR="00F73993" w:rsidRPr="002C3CDD">
        <w:rPr>
          <w:rFonts w:ascii="Times New Roman" w:hAnsi="Times New Roman" w:cs="Times New Roman"/>
          <w:sz w:val="26"/>
          <w:szCs w:val="26"/>
        </w:rPr>
        <w:t xml:space="preserve">по показателю </w:t>
      </w:r>
      <w:r w:rsidR="00844F55" w:rsidRPr="002C3CDD">
        <w:rPr>
          <w:rFonts w:ascii="Times New Roman" w:hAnsi="Times New Roman" w:cs="Times New Roman"/>
          <w:sz w:val="26"/>
          <w:szCs w:val="26"/>
        </w:rPr>
        <w:t>«Д</w:t>
      </w:r>
      <w:r w:rsidR="00F73993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Усть-Абаканский </w:t>
      </w:r>
      <w:r w:rsidR="00F73993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район</w:t>
      </w:r>
      <w:r w:rsidR="00844F55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C3CDD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Данный показатель </w:t>
      </w:r>
      <w:r w:rsidR="00F73993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>снизилс</w:t>
      </w:r>
      <w:r w:rsidR="002C3CDD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73993" w:rsidRPr="002C3C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2,2%, по причине того, что </w:t>
      </w:r>
      <w:r w:rsidR="00F73993" w:rsidRPr="002C3CDD">
        <w:rPr>
          <w:rFonts w:ascii="Times New Roman" w:hAnsi="Times New Roman" w:cs="Times New Roman"/>
          <w:sz w:val="26"/>
          <w:szCs w:val="26"/>
        </w:rPr>
        <w:t>доходы консолидированного бюджета муниципального образования Усть-Абаканский район выросли в два раза за счет увеличившихся поступлений налогов от добывающих компаний</w:t>
      </w:r>
      <w:r w:rsidR="002C3CDD" w:rsidRPr="002C3CDD">
        <w:rPr>
          <w:rFonts w:ascii="Times New Roman" w:hAnsi="Times New Roman" w:cs="Times New Roman"/>
          <w:sz w:val="26"/>
          <w:szCs w:val="26"/>
        </w:rPr>
        <w:t>,  а количество предпринимателей, зарегистрированных на территории муниципального образования Усть-Абаканский район, сократилось.</w:t>
      </w:r>
    </w:p>
    <w:p w:rsidR="00372B6A" w:rsidRPr="00674159" w:rsidRDefault="00372B6A" w:rsidP="002A03E9">
      <w:pPr>
        <w:pStyle w:val="ConsPlusNonformat"/>
        <w:widowControl/>
        <w:ind w:left="-142"/>
        <w:rPr>
          <w:rFonts w:ascii="Times New Roman" w:hAnsi="Times New Roman" w:cs="Times New Roman"/>
          <w:sz w:val="26"/>
          <w:szCs w:val="26"/>
        </w:rPr>
      </w:pPr>
    </w:p>
    <w:p w:rsidR="00580168" w:rsidRDefault="00580168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proofErr w:type="spellEnd"/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 xml:space="preserve">) Информация о внесенных ответственным исполнителем изменениях в </w:t>
      </w:r>
      <w:r w:rsidR="002C3CDD">
        <w:rPr>
          <w:rFonts w:ascii="Times New Roman" w:eastAsia="Times New Roman" w:hAnsi="Times New Roman" w:cs="Times New Roman"/>
          <w:i/>
          <w:sz w:val="26"/>
          <w:szCs w:val="26"/>
        </w:rPr>
        <w:t>муниципальную</w:t>
      </w:r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программу</w:t>
      </w:r>
    </w:p>
    <w:p w:rsidR="00BF4226" w:rsidRPr="00674159" w:rsidRDefault="00BF4226" w:rsidP="002A03E9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F36B5" w:rsidRPr="00B87D4A" w:rsidRDefault="00BD7E2B" w:rsidP="002A03E9">
      <w:pPr>
        <w:spacing w:after="0" w:line="240" w:lineRule="auto"/>
        <w:ind w:left="-142" w:right="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E2B">
        <w:rPr>
          <w:rFonts w:ascii="Times New Roman" w:eastAsia="Times New Roman" w:hAnsi="Times New Roman" w:cs="Times New Roman"/>
          <w:bCs/>
          <w:sz w:val="26"/>
          <w:szCs w:val="26"/>
        </w:rPr>
        <w:t>В целях оптимизации расходов и координации деятельности по реализации программных мероприятий</w:t>
      </w:r>
      <w:r w:rsidRPr="00BD7E2B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="000D2AE0" w:rsidRPr="00BD7E2B">
        <w:rPr>
          <w:rFonts w:ascii="Times New Roman" w:eastAsia="Times New Roman" w:hAnsi="Times New Roman" w:cs="Times New Roman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0D2AE0" w:rsidRPr="00BD7E2B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0D2AE0" w:rsidRPr="00BD7E2B">
        <w:rPr>
          <w:rFonts w:ascii="Times New Roman" w:eastAsia="Times New Roman" w:hAnsi="Times New Roman" w:cs="Times New Roman"/>
          <w:sz w:val="26"/>
          <w:szCs w:val="26"/>
        </w:rPr>
        <w:t xml:space="preserve"> «Развитие торговли в Усть-Абаканском районе (2016-2020 годы)»</w:t>
      </w:r>
      <w:r>
        <w:rPr>
          <w:rFonts w:ascii="Times New Roman" w:eastAsia="Times New Roman" w:hAnsi="Times New Roman" w:cs="Times New Roman"/>
          <w:sz w:val="26"/>
          <w:szCs w:val="26"/>
        </w:rPr>
        <w:t>, утвержденной</w:t>
      </w:r>
      <w:r w:rsidR="000D2AE0" w:rsidRPr="00BD7E2B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0D2AE0" w:rsidRPr="00BD7E2B">
        <w:rPr>
          <w:rFonts w:ascii="Times New Roman" w:hAnsi="Times New Roman" w:cs="Times New Roman"/>
          <w:sz w:val="26"/>
          <w:szCs w:val="26"/>
        </w:rPr>
        <w:t xml:space="preserve"> </w:t>
      </w:r>
      <w:r w:rsidRPr="00BD7E2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Усть-Абаканского района </w:t>
      </w:r>
      <w:r w:rsidR="000D2AE0" w:rsidRPr="00BD7E2B">
        <w:rPr>
          <w:rFonts w:ascii="Times New Roman" w:eastAsia="Times New Roman" w:hAnsi="Times New Roman" w:cs="Times New Roman"/>
          <w:sz w:val="26"/>
          <w:szCs w:val="26"/>
        </w:rPr>
        <w:t>от 02.11.2015 № 1585-п «Об утверждении</w:t>
      </w:r>
      <w:r w:rsidR="000D2AE0" w:rsidRPr="00BD7E2B">
        <w:rPr>
          <w:rFonts w:ascii="Times New Roman" w:hAnsi="Times New Roman" w:cs="Times New Roman"/>
          <w:sz w:val="26"/>
          <w:szCs w:val="26"/>
        </w:rPr>
        <w:t xml:space="preserve"> </w:t>
      </w:r>
      <w:r w:rsidR="000D2AE0" w:rsidRPr="00BD7E2B">
        <w:rPr>
          <w:rFonts w:ascii="Times New Roman" w:eastAsia="Times New Roman" w:hAnsi="Times New Roman" w:cs="Times New Roman"/>
          <w:sz w:val="26"/>
          <w:szCs w:val="26"/>
        </w:rPr>
        <w:t>муниципальных программ</w:t>
      </w:r>
      <w:r w:rsidR="000D2AE0" w:rsidRPr="00B87D4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87D4A" w:rsidRPr="00B87D4A">
        <w:rPr>
          <w:rFonts w:ascii="Times New Roman" w:hAnsi="Times New Roman" w:cs="Times New Roman"/>
          <w:sz w:val="26"/>
          <w:szCs w:val="26"/>
        </w:rPr>
        <w:t xml:space="preserve"> </w:t>
      </w:r>
      <w:r w:rsidR="00B87D4A" w:rsidRPr="00B87D4A">
        <w:rPr>
          <w:rFonts w:ascii="Times New Roman" w:eastAsia="Times New Roman" w:hAnsi="Times New Roman" w:cs="Times New Roman"/>
          <w:sz w:val="26"/>
          <w:szCs w:val="26"/>
        </w:rPr>
        <w:t xml:space="preserve">в течение 2018 года </w:t>
      </w:r>
      <w:r w:rsidR="00B87D4A">
        <w:rPr>
          <w:rFonts w:ascii="Times New Roman" w:hAnsi="Times New Roman" w:cs="Times New Roman"/>
          <w:sz w:val="26"/>
          <w:szCs w:val="26"/>
        </w:rPr>
        <w:t>вносились</w:t>
      </w:r>
      <w:r w:rsidR="00B87D4A" w:rsidRPr="00B87D4A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</w:t>
      </w:r>
      <w:r w:rsidR="007F36B5" w:rsidRPr="00B87D4A">
        <w:rPr>
          <w:rFonts w:ascii="Times New Roman" w:hAnsi="Times New Roman" w:cs="Times New Roman"/>
          <w:sz w:val="26"/>
          <w:szCs w:val="26"/>
        </w:rPr>
        <w:t>:</w:t>
      </w:r>
    </w:p>
    <w:p w:rsidR="00A151F5" w:rsidRDefault="001A27E2" w:rsidP="002A03E9">
      <w:pPr>
        <w:spacing w:after="0" w:line="240" w:lineRule="auto"/>
        <w:ind w:left="-142" w:right="5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Постановлением от 10.05.2018 № 572-п «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674159">
        <w:rPr>
          <w:rFonts w:ascii="Times New Roman" w:hAnsi="Times New Roman" w:cs="Times New Roman"/>
          <w:sz w:val="26"/>
          <w:szCs w:val="26"/>
        </w:rPr>
        <w:t>в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>несении изменений в постановление администрации Усть-Абаканского района</w:t>
      </w:r>
      <w:r w:rsidRPr="00674159">
        <w:rPr>
          <w:rFonts w:ascii="Times New Roman" w:hAnsi="Times New Roman" w:cs="Times New Roman"/>
          <w:sz w:val="26"/>
          <w:szCs w:val="26"/>
        </w:rPr>
        <w:t xml:space="preserve"> 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>от 02.11.2015 № 1585-п «Об утверждении</w:t>
      </w:r>
      <w:r w:rsidRPr="00674159">
        <w:rPr>
          <w:rFonts w:ascii="Times New Roman" w:hAnsi="Times New Roman" w:cs="Times New Roman"/>
          <w:sz w:val="26"/>
          <w:szCs w:val="26"/>
        </w:rPr>
        <w:t xml:space="preserve"> 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>муниципальных программ»</w:t>
      </w:r>
      <w:r w:rsidR="00F66C0C">
        <w:rPr>
          <w:rFonts w:ascii="Times New Roman" w:hAnsi="Times New Roman" w:cs="Times New Roman"/>
          <w:sz w:val="26"/>
          <w:szCs w:val="26"/>
        </w:rPr>
        <w:t xml:space="preserve"> </w:t>
      </w:r>
      <w:r w:rsidR="00A151F5">
        <w:rPr>
          <w:rFonts w:ascii="Times New Roman" w:hAnsi="Times New Roman" w:cs="Times New Roman"/>
          <w:sz w:val="26"/>
          <w:szCs w:val="26"/>
        </w:rPr>
        <w:t>у</w:t>
      </w:r>
      <w:r w:rsidR="00A151F5" w:rsidRPr="0051202D">
        <w:rPr>
          <w:rFonts w:ascii="Times New Roman" w:hAnsi="Times New Roman" w:cs="Times New Roman"/>
          <w:sz w:val="26"/>
          <w:szCs w:val="26"/>
        </w:rPr>
        <w:t>величен</w:t>
      </w:r>
      <w:r w:rsidR="00A151F5">
        <w:rPr>
          <w:rFonts w:ascii="Times New Roman" w:hAnsi="Times New Roman" w:cs="Times New Roman"/>
          <w:sz w:val="26"/>
          <w:szCs w:val="26"/>
        </w:rPr>
        <w:t>ы</w:t>
      </w:r>
      <w:r w:rsidR="00A151F5" w:rsidRPr="0051202D">
        <w:rPr>
          <w:rFonts w:ascii="Times New Roman" w:hAnsi="Times New Roman" w:cs="Times New Roman"/>
          <w:sz w:val="26"/>
          <w:szCs w:val="26"/>
        </w:rPr>
        <w:t xml:space="preserve"> бюджетны</w:t>
      </w:r>
      <w:r w:rsidR="00A151F5">
        <w:rPr>
          <w:rFonts w:ascii="Times New Roman" w:hAnsi="Times New Roman" w:cs="Times New Roman"/>
          <w:sz w:val="26"/>
          <w:szCs w:val="26"/>
        </w:rPr>
        <w:t>е</w:t>
      </w:r>
      <w:r w:rsidR="00A151F5" w:rsidRPr="0051202D">
        <w:rPr>
          <w:rFonts w:ascii="Times New Roman" w:hAnsi="Times New Roman" w:cs="Times New Roman"/>
          <w:sz w:val="26"/>
          <w:szCs w:val="26"/>
        </w:rPr>
        <w:t xml:space="preserve"> ассигновани</w:t>
      </w:r>
      <w:r w:rsidR="00A151F5">
        <w:rPr>
          <w:rFonts w:ascii="Times New Roman" w:hAnsi="Times New Roman" w:cs="Times New Roman"/>
          <w:sz w:val="26"/>
          <w:szCs w:val="26"/>
        </w:rPr>
        <w:t>я</w:t>
      </w:r>
      <w:r w:rsidR="00A151F5" w:rsidRPr="0051202D">
        <w:rPr>
          <w:rFonts w:ascii="Times New Roman" w:hAnsi="Times New Roman" w:cs="Times New Roman"/>
          <w:sz w:val="26"/>
          <w:szCs w:val="26"/>
        </w:rPr>
        <w:t xml:space="preserve"> </w:t>
      </w:r>
      <w:r w:rsidR="00A151F5" w:rsidRPr="00CA7A39">
        <w:rPr>
          <w:rFonts w:ascii="Times New Roman" w:hAnsi="Times New Roman" w:cs="Times New Roman"/>
          <w:sz w:val="26"/>
          <w:szCs w:val="26"/>
        </w:rPr>
        <w:t xml:space="preserve">на </w:t>
      </w:r>
      <w:r w:rsidR="00A151F5" w:rsidRPr="0051202D">
        <w:rPr>
          <w:rFonts w:ascii="Times New Roman" w:hAnsi="Times New Roman" w:cs="Times New Roman"/>
          <w:sz w:val="26"/>
          <w:szCs w:val="26"/>
        </w:rPr>
        <w:t xml:space="preserve">компенсацию затрат по доставке продуктовых и </w:t>
      </w:r>
      <w:proofErr w:type="spellStart"/>
      <w:r w:rsidR="00A151F5" w:rsidRPr="0051202D">
        <w:rPr>
          <w:rFonts w:ascii="Times New Roman" w:hAnsi="Times New Roman" w:cs="Times New Roman"/>
          <w:sz w:val="26"/>
          <w:szCs w:val="26"/>
        </w:rPr>
        <w:t>непродуктовых</w:t>
      </w:r>
      <w:proofErr w:type="spellEnd"/>
      <w:r w:rsidR="00A151F5" w:rsidRPr="0051202D">
        <w:rPr>
          <w:rFonts w:ascii="Times New Roman" w:hAnsi="Times New Roman" w:cs="Times New Roman"/>
          <w:sz w:val="26"/>
          <w:szCs w:val="26"/>
        </w:rPr>
        <w:t xml:space="preserve"> товаров жителям малых и отдаленных сел Республики Хакасия, не имеющих стационарных точек торговли (средства республиканского бюджета)</w:t>
      </w:r>
      <w:r w:rsidR="00F66C0C">
        <w:rPr>
          <w:rFonts w:ascii="Times New Roman" w:hAnsi="Times New Roman" w:cs="Times New Roman"/>
          <w:sz w:val="26"/>
          <w:szCs w:val="26"/>
        </w:rPr>
        <w:t>;</w:t>
      </w:r>
    </w:p>
    <w:p w:rsidR="001465E4" w:rsidRPr="00674159" w:rsidRDefault="001465E4" w:rsidP="002A03E9">
      <w:pPr>
        <w:spacing w:after="0" w:line="240" w:lineRule="auto"/>
        <w:ind w:left="-142" w:right="5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Постановлением от 30.11.2018 № 1780-п «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="00F66C0C">
        <w:rPr>
          <w:rFonts w:ascii="Times New Roman" w:eastAsia="Times New Roman" w:hAnsi="Times New Roman" w:cs="Times New Roman"/>
          <w:sz w:val="26"/>
          <w:szCs w:val="26"/>
        </w:rPr>
        <w:t xml:space="preserve"> в «Целевые показатели» и </w:t>
      </w:r>
      <w:r w:rsidR="00F66C0C" w:rsidRPr="00F66C0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66C0C" w:rsidRPr="00F66C0C">
        <w:rPr>
          <w:rFonts w:ascii="Times New Roman" w:hAnsi="Times New Roman" w:cs="Times New Roman"/>
          <w:sz w:val="26"/>
          <w:szCs w:val="26"/>
        </w:rPr>
        <w:t>Объемы бюджетных ассигнований»</w:t>
      </w:r>
      <w:r w:rsidR="00F66C0C" w:rsidRPr="00F66C0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66C0C" w:rsidRDefault="00EE572D" w:rsidP="002A03E9">
      <w:pPr>
        <w:spacing w:after="0" w:line="240" w:lineRule="auto"/>
        <w:ind w:left="-142" w:right="5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15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от 27.12.2018 № 2052-п </w:t>
      </w:r>
      <w:r w:rsidRPr="00674159">
        <w:rPr>
          <w:rFonts w:ascii="Times New Roman" w:hAnsi="Times New Roman" w:cs="Times New Roman"/>
          <w:sz w:val="26"/>
          <w:szCs w:val="26"/>
        </w:rPr>
        <w:t>«</w:t>
      </w:r>
      <w:r w:rsidRPr="00674159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Pr="00674159">
        <w:rPr>
          <w:rFonts w:ascii="Times New Roman" w:hAnsi="Times New Roman" w:cs="Times New Roman"/>
          <w:sz w:val="26"/>
          <w:szCs w:val="26"/>
        </w:rPr>
        <w:t xml:space="preserve"> </w:t>
      </w:r>
      <w:r w:rsidR="00F66C0C">
        <w:rPr>
          <w:rFonts w:ascii="Times New Roman" w:eastAsia="Times New Roman" w:hAnsi="Times New Roman" w:cs="Times New Roman"/>
          <w:sz w:val="26"/>
          <w:szCs w:val="26"/>
        </w:rPr>
        <w:t xml:space="preserve">в «Целевые показатели» и   </w:t>
      </w:r>
      <w:r w:rsidR="00F66C0C" w:rsidRPr="00F66C0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66C0C" w:rsidRPr="00F66C0C">
        <w:rPr>
          <w:rFonts w:ascii="Times New Roman" w:hAnsi="Times New Roman" w:cs="Times New Roman"/>
          <w:sz w:val="26"/>
          <w:szCs w:val="26"/>
        </w:rPr>
        <w:t>Объемы бюджетных ассигнований»</w:t>
      </w:r>
      <w:r w:rsidR="00F66C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03E9" w:rsidRPr="00674159" w:rsidRDefault="002A03E9" w:rsidP="002A03E9">
      <w:pPr>
        <w:spacing w:after="0" w:line="240" w:lineRule="auto"/>
        <w:ind w:left="-142" w:right="5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168" w:rsidRDefault="00580168" w:rsidP="002A03E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74159">
        <w:rPr>
          <w:rFonts w:ascii="Times New Roman" w:eastAsia="Times New Roman" w:hAnsi="Times New Roman" w:cs="Times New Roman"/>
          <w:i/>
          <w:sz w:val="26"/>
          <w:szCs w:val="26"/>
        </w:rPr>
        <w:t>е) Анализ факторов, повлиявших на ход реализации программы</w:t>
      </w:r>
    </w:p>
    <w:p w:rsidR="002A03E9" w:rsidRDefault="002A03E9" w:rsidP="002A03E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80168" w:rsidRPr="00674159" w:rsidRDefault="00407484" w:rsidP="002A03E9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3CDD">
        <w:rPr>
          <w:rFonts w:ascii="Times New Roman" w:hAnsi="Times New Roman" w:cs="Times New Roman"/>
          <w:bCs/>
          <w:sz w:val="26"/>
          <w:szCs w:val="26"/>
        </w:rPr>
        <w:t>К сдерживающим факторам</w:t>
      </w:r>
      <w:r w:rsidRPr="00674159">
        <w:rPr>
          <w:rFonts w:ascii="Times New Roman" w:hAnsi="Times New Roman" w:cs="Times New Roman"/>
          <w:bCs/>
          <w:sz w:val="26"/>
          <w:szCs w:val="26"/>
        </w:rPr>
        <w:t xml:space="preserve"> реализации мероприятий </w:t>
      </w:r>
      <w:r w:rsidR="00040EB0" w:rsidRPr="00674159"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 w:rsidRPr="00674159">
        <w:rPr>
          <w:rFonts w:ascii="Times New Roman" w:hAnsi="Times New Roman" w:cs="Times New Roman"/>
          <w:bCs/>
          <w:sz w:val="26"/>
          <w:szCs w:val="26"/>
        </w:rPr>
        <w:t xml:space="preserve">программы </w:t>
      </w:r>
      <w:r w:rsidR="00040EB0" w:rsidRPr="00674159">
        <w:rPr>
          <w:rFonts w:ascii="Times New Roman" w:hAnsi="Times New Roman" w:cs="Times New Roman"/>
          <w:sz w:val="26"/>
          <w:szCs w:val="26"/>
        </w:rPr>
        <w:t xml:space="preserve">«Развитие торговли в Усть-Абаканском районе (2016-2020 годы)» </w:t>
      </w:r>
      <w:r w:rsidRPr="00674159">
        <w:rPr>
          <w:rFonts w:ascii="Times New Roman" w:hAnsi="Times New Roman" w:cs="Times New Roman"/>
          <w:bCs/>
          <w:sz w:val="26"/>
          <w:szCs w:val="26"/>
        </w:rPr>
        <w:t>можно отнести</w:t>
      </w:r>
      <w:r w:rsidR="00040EB0" w:rsidRPr="00674159">
        <w:rPr>
          <w:rFonts w:ascii="Times New Roman" w:hAnsi="Times New Roman" w:cs="Times New Roman"/>
          <w:bCs/>
          <w:sz w:val="26"/>
          <w:szCs w:val="26"/>
        </w:rPr>
        <w:t xml:space="preserve"> тот факт, что районный конкурс «Лучшее предприятие торговли» был проведен в конце 2018 года, и в связи с недостатком финансирования было выделено только 35,0 тыс. руб. Вся выделенная сумма была освоена.</w:t>
      </w:r>
    </w:p>
    <w:p w:rsidR="00270A08" w:rsidRPr="00674159" w:rsidRDefault="00270A08" w:rsidP="002A03E9">
      <w:pPr>
        <w:autoSpaceDE w:val="0"/>
        <w:autoSpaceDN w:val="0"/>
        <w:adjustRightInd w:val="0"/>
        <w:spacing w:after="0" w:line="240" w:lineRule="auto"/>
        <w:ind w:left="-142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43DCC" w:rsidRPr="00674159" w:rsidRDefault="00043DCC" w:rsidP="002A03E9">
      <w:pPr>
        <w:autoSpaceDE w:val="0"/>
        <w:autoSpaceDN w:val="0"/>
        <w:adjustRightInd w:val="0"/>
        <w:spacing w:after="0" w:line="240" w:lineRule="auto"/>
        <w:ind w:left="-142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A03E9" w:rsidRDefault="00043DCC" w:rsidP="002A03E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:rsidR="00043DCC" w:rsidRPr="00674159" w:rsidRDefault="00043DCC" w:rsidP="002A03E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Усть-Абаканского района по финансам </w:t>
      </w:r>
    </w:p>
    <w:p w:rsidR="00043DCC" w:rsidRPr="00674159" w:rsidRDefault="00043DCC" w:rsidP="002A03E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и экономике – руководитель управления </w:t>
      </w:r>
    </w:p>
    <w:p w:rsidR="00043DCC" w:rsidRPr="00674159" w:rsidRDefault="00043DCC" w:rsidP="002A03E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финансов и экономики администрации </w:t>
      </w:r>
    </w:p>
    <w:p w:rsidR="00043DCC" w:rsidRDefault="00043DCC" w:rsidP="002A03E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>Усть-Абаканского района                                                                       Н.А. Потылицына</w:t>
      </w: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3CDD" w:rsidRDefault="002C3CDD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187" w:rsidRDefault="00404187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31D6" w:rsidRDefault="00B531D6" w:rsidP="006741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531D6" w:rsidSect="002A03E9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22EE8"/>
    <w:rsid w:val="00040EB0"/>
    <w:rsid w:val="00043DCC"/>
    <w:rsid w:val="00074B6B"/>
    <w:rsid w:val="00094E50"/>
    <w:rsid w:val="000C37A5"/>
    <w:rsid w:val="000D2AE0"/>
    <w:rsid w:val="001465E4"/>
    <w:rsid w:val="001A27E2"/>
    <w:rsid w:val="00253032"/>
    <w:rsid w:val="00270A08"/>
    <w:rsid w:val="002A03E9"/>
    <w:rsid w:val="002C3CDD"/>
    <w:rsid w:val="002C476E"/>
    <w:rsid w:val="002E52AA"/>
    <w:rsid w:val="00372B6A"/>
    <w:rsid w:val="003F5E54"/>
    <w:rsid w:val="00404187"/>
    <w:rsid w:val="00407484"/>
    <w:rsid w:val="0043535A"/>
    <w:rsid w:val="004607A0"/>
    <w:rsid w:val="004B6FFD"/>
    <w:rsid w:val="004C1678"/>
    <w:rsid w:val="00574D65"/>
    <w:rsid w:val="00580168"/>
    <w:rsid w:val="00674159"/>
    <w:rsid w:val="00730A11"/>
    <w:rsid w:val="00790300"/>
    <w:rsid w:val="007F36B5"/>
    <w:rsid w:val="0080342E"/>
    <w:rsid w:val="00803C75"/>
    <w:rsid w:val="00844F55"/>
    <w:rsid w:val="009C0C21"/>
    <w:rsid w:val="00A151F5"/>
    <w:rsid w:val="00A1558D"/>
    <w:rsid w:val="00A350A9"/>
    <w:rsid w:val="00A9104D"/>
    <w:rsid w:val="00AF25C8"/>
    <w:rsid w:val="00B531D6"/>
    <w:rsid w:val="00B7616A"/>
    <w:rsid w:val="00B87D4A"/>
    <w:rsid w:val="00BA747B"/>
    <w:rsid w:val="00BD7E2B"/>
    <w:rsid w:val="00BF4226"/>
    <w:rsid w:val="00C5319B"/>
    <w:rsid w:val="00C60875"/>
    <w:rsid w:val="00C81DC4"/>
    <w:rsid w:val="00C839D9"/>
    <w:rsid w:val="00D65516"/>
    <w:rsid w:val="00D6674C"/>
    <w:rsid w:val="00D83B84"/>
    <w:rsid w:val="00E60E15"/>
    <w:rsid w:val="00E75C4C"/>
    <w:rsid w:val="00E76ED8"/>
    <w:rsid w:val="00EE572D"/>
    <w:rsid w:val="00EF1198"/>
    <w:rsid w:val="00F319D1"/>
    <w:rsid w:val="00F66C0C"/>
    <w:rsid w:val="00F7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83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25</cp:revision>
  <cp:lastPrinted>2019-04-17T02:21:00Z</cp:lastPrinted>
  <dcterms:created xsi:type="dcterms:W3CDTF">2019-03-04T08:36:00Z</dcterms:created>
  <dcterms:modified xsi:type="dcterms:W3CDTF">2019-06-25T02:23:00Z</dcterms:modified>
</cp:coreProperties>
</file>