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9606" w:type="dxa"/>
        <w:tblInd w:w="108" w:type="dxa"/>
        <w:tblLayout w:type="fixed"/>
        <w:tblLook w:val="04A0"/>
      </w:tblPr>
      <w:tblGrid>
        <w:gridCol w:w="4804"/>
        <w:gridCol w:w="4802"/>
      </w:tblGrid>
      <w:tr w:rsidR="00C50491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491" w:rsidRDefault="0066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0491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C50491" w:rsidRDefault="00C50491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C50491" w:rsidRDefault="00665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C50491" w:rsidRDefault="00665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50491" w:rsidRDefault="0066527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C50491" w:rsidRDefault="00C50491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C50491" w:rsidRDefault="00C50491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C50491" w:rsidRDefault="00665272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C50491" w:rsidRDefault="00665272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C50491" w:rsidRDefault="00665272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C50491" w:rsidRDefault="00665272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C50491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491" w:rsidRDefault="006652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C50491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C50491" w:rsidRDefault="00EE5867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C50491" w:rsidRDefault="00EE5867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128 -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C50491" w:rsidRDefault="0066527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C50491" w:rsidRDefault="00C5049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C50491" w:rsidRDefault="00C5049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C50491" w:rsidRDefault="00665272">
      <w:pPr>
        <w:tabs>
          <w:tab w:val="left" w:pos="4365"/>
        </w:tabs>
        <w:spacing w:after="0" w:line="240" w:lineRule="auto"/>
        <w:ind w:right="4422"/>
        <w:jc w:val="both"/>
        <w:rPr>
          <w:rFonts w:ascii="PT Astra Serif" w:hAnsi="PT Astra Serif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Усть</w:t>
      </w:r>
      <w:proofErr w:type="spellEnd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–Абаканского района от 22.02.2022 № 146-п                     «Об утверждении Положения об оплате труда работников хозяйственной группы, обеспечивающих деятельность учреждений культуры»</w:t>
      </w:r>
    </w:p>
    <w:p w:rsidR="00C50491" w:rsidRDefault="00C50491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C50491" w:rsidRDefault="00665272">
      <w:pPr>
        <w:pStyle w:val="ab"/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135, 144 Трудового кодекса Российской Федерации, руководствуясь статьей 66 Устава Усть-Абаканского муниципального района Республики Хакасия, Администрация                      Усть-Абаканского муниципального района Республики Хакасия </w:t>
      </w:r>
    </w:p>
    <w:p w:rsidR="00C50491" w:rsidRDefault="00665272">
      <w:pPr>
        <w:pStyle w:val="ab"/>
        <w:spacing w:after="0" w:line="360" w:lineRule="auto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ПОСТАНОВЛЯЕТ:</w:t>
      </w: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 Внести в Положение об оплате труда работников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хозяйственной группы, обеспечивающих деятельность учреждений культуры</w:t>
      </w:r>
      <w:r>
        <w:rPr>
          <w:rFonts w:ascii="PT Astra Serif" w:hAnsi="PT Astra Serif"/>
          <w:sz w:val="28"/>
          <w:szCs w:val="28"/>
        </w:rPr>
        <w:t>, утвержденное постановлением администрации Усть-Абаканского района от 22.02.2022        № 146-п «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Об утверждении Положения об оплате труда работников хозяйственной группы, обеспечивающих деятельность учреждений культуры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(с последующими изменениями)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1.1  </w:t>
      </w:r>
      <w:r>
        <w:rPr>
          <w:rFonts w:ascii="PT Astra Serif" w:eastAsia="Calibri" w:hAnsi="PT Astra Serif" w:cs="Times New Roman"/>
          <w:sz w:val="28"/>
          <w:szCs w:val="28"/>
        </w:rPr>
        <w:t>пункты 2.3 - 2.5 раздела 2 изложить в новой редакции:</w:t>
      </w:r>
    </w:p>
    <w:p w:rsidR="00C50491" w:rsidRDefault="00665272">
      <w:pPr>
        <w:spacing w:after="0" w:line="360" w:lineRule="auto"/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«2.3. Для дифференциации в разрезе п</w:t>
      </w:r>
      <w:r>
        <w:rPr>
          <w:rFonts w:ascii="PT Astra Serif" w:eastAsia="Calibri" w:hAnsi="PT Astra Serif" w:cs="Times New Roman"/>
          <w:sz w:val="28"/>
          <w:szCs w:val="28"/>
        </w:rPr>
        <w:t>рофессиональных квалификационных групп</w:t>
      </w:r>
      <w:r>
        <w:rPr>
          <w:rFonts w:ascii="PT Astra Serif" w:hAnsi="PT Astra Serif" w:cs="Times New Roman"/>
          <w:sz w:val="28"/>
          <w:szCs w:val="28"/>
        </w:rPr>
        <w:t xml:space="preserve"> и </w:t>
      </w:r>
      <w:r>
        <w:rPr>
          <w:rFonts w:ascii="PT Astra Serif" w:eastAsia="Calibri" w:hAnsi="PT Astra Serif" w:cs="Times New Roman"/>
          <w:sz w:val="28"/>
          <w:szCs w:val="28"/>
        </w:rPr>
        <w:t>квалификационных</w:t>
      </w:r>
      <w:r>
        <w:rPr>
          <w:rFonts w:ascii="PT Astra Serif" w:hAnsi="PT Astra Serif" w:cs="Times New Roman"/>
          <w:sz w:val="28"/>
          <w:szCs w:val="28"/>
        </w:rPr>
        <w:t xml:space="preserve"> уровней с учетом сложности, вида и объема выполняемой работы к базовым окладам (базовым должностным</w:t>
      </w:r>
      <w:r>
        <w:rPr>
          <w:rFonts w:ascii="PT Astra Serif" w:hAnsi="PT Astra Serif"/>
          <w:sz w:val="28"/>
          <w:szCs w:val="28"/>
        </w:rPr>
        <w:t xml:space="preserve"> окладам) работников</w:t>
      </w:r>
      <w:r>
        <w:rPr>
          <w:rFonts w:ascii="PT Astra Serif" w:eastAsia="Calibri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применяются повышающие коэффициенты к базовым окладам  (базовым должностным окладам).</w:t>
      </w:r>
    </w:p>
    <w:p w:rsidR="00C50491" w:rsidRDefault="00665272">
      <w:pPr>
        <w:spacing w:after="0" w:line="360" w:lineRule="auto"/>
        <w:ind w:firstLine="53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 xml:space="preserve">Работодатель в пределах средств, предусмотренных на оплату труда работников, устанавливает размеры окладов (должностных окладов) работников, должности которых отнесены к квалификационным уровням </w:t>
      </w:r>
      <w:r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eastAsia="Calibri" w:hAnsi="PT Astra Serif" w:cs="Times New Roman"/>
          <w:sz w:val="28"/>
          <w:szCs w:val="28"/>
        </w:rPr>
        <w:t>рофессиональных квалификационных групп</w:t>
      </w:r>
      <w:r>
        <w:rPr>
          <w:rFonts w:ascii="PT Astra Serif" w:eastAsia="Calibri" w:hAnsi="PT Astra Serif"/>
          <w:sz w:val="28"/>
          <w:szCs w:val="28"/>
        </w:rPr>
        <w:t xml:space="preserve">, которые определяются путем умножения размера </w:t>
      </w:r>
      <w:r>
        <w:rPr>
          <w:rFonts w:ascii="PT Astra Serif" w:hAnsi="PT Astra Serif"/>
          <w:sz w:val="28"/>
          <w:szCs w:val="28"/>
        </w:rPr>
        <w:t>базового оклада (базового должностного оклада) на размер повышающего коэффициента к базовому окладу (базовому должностному окладу).</w:t>
      </w:r>
    </w:p>
    <w:p w:rsidR="00C50491" w:rsidRDefault="00665272">
      <w:pPr>
        <w:spacing w:after="0" w:line="360" w:lineRule="auto"/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2.4. </w:t>
      </w:r>
      <w:r>
        <w:rPr>
          <w:rFonts w:ascii="PT Astra Serif" w:hAnsi="PT Astra Serif" w:cs="Times New Roman"/>
          <w:sz w:val="28"/>
          <w:szCs w:val="28"/>
        </w:rPr>
        <w:t>Повышающие коэффициенты к базовым окладам (базовым должностным окладам) устанавливаются правовым актом работодателя.</w:t>
      </w:r>
    </w:p>
    <w:p w:rsidR="00C50491" w:rsidRDefault="00665272">
      <w:pPr>
        <w:spacing w:after="0" w:line="360" w:lineRule="auto"/>
        <w:ind w:firstLine="53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8"/>
          <w:szCs w:val="28"/>
        </w:rPr>
        <w:t>2.5. Размеры базовых окладов (базовых должностных окладов) и диапазоны повышающих коэффициентов к базовым окладам (базовым должностным окладам) устанавливаются в соответствии с таблицей 1.</w:t>
      </w:r>
    </w:p>
    <w:p w:rsidR="00C50491" w:rsidRDefault="00665272">
      <w:pPr>
        <w:pStyle w:val="ConsPlusNormal"/>
        <w:spacing w:line="276" w:lineRule="auto"/>
        <w:ind w:left="1134" w:hanging="425"/>
        <w:jc w:val="center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Таблица 1</w:t>
      </w:r>
    </w:p>
    <w:tbl>
      <w:tblPr>
        <w:tblW w:w="9923" w:type="dxa"/>
        <w:tblInd w:w="221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1554"/>
        <w:gridCol w:w="4987"/>
        <w:gridCol w:w="2580"/>
        <w:gridCol w:w="802"/>
      </w:tblGrid>
      <w:tr w:rsidR="00C50491">
        <w:trPr>
          <w:trHeight w:val="33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0"/>
                <w:tab w:val="left" w:pos="1684"/>
              </w:tabs>
              <w:ind w:hanging="34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Квалифика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</w:p>
          <w:p w:rsidR="00C50491" w:rsidRDefault="00665272">
            <w:pPr>
              <w:pStyle w:val="ConsPlusNormal"/>
              <w:tabs>
                <w:tab w:val="left" w:pos="0"/>
                <w:tab w:val="left" w:pos="1684"/>
              </w:tabs>
              <w:ind w:hanging="34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ционный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175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Диапазон размеров повышающих коэффициентов к базовым окладам (базовым должностным окладам)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175"/>
                <w:tab w:val="left" w:pos="1684"/>
              </w:tabs>
              <w:ind w:left="34" w:firstLine="0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68"/>
        </w:trPr>
        <w:tc>
          <w:tcPr>
            <w:tcW w:w="91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 первого уровня»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460"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53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Базовый оклад (базовый должностной оклад) – 7761,00 рублей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460" w:firstLine="0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37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4"/>
                <w:tab w:val="left" w:pos="1684"/>
              </w:tabs>
              <w:ind w:firstLine="0"/>
              <w:contextualSpacing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Дворник, истопник, уборщик служебных помещений, вахтер, сторож, подсобный рабочий, рабочий по комплексному обслуживанию и ремонту зданий, переплетчик документов, костюмер</w:t>
            </w:r>
            <w:proofErr w:type="gramEnd"/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176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1,27 - 1,73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176"/>
                <w:tab w:val="left" w:pos="1684"/>
              </w:tabs>
              <w:ind w:left="176" w:firstLine="0"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53"/>
        </w:trPr>
        <w:tc>
          <w:tcPr>
            <w:tcW w:w="91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 второго уровня»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460"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37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Базовый оклад (базовый должностной оклад) –  8864,00 рублей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460" w:firstLine="0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53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1,0 - 1,52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317" w:firstLine="0"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53"/>
        </w:trPr>
        <w:tc>
          <w:tcPr>
            <w:tcW w:w="91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Профессиональная квалификационная группа «Должности служащих третьего уровня»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460"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53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Базовый оклад (базовый должностной оклад) –  9282,00 рублей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C50491">
            <w:pPr>
              <w:pStyle w:val="ConsPlusNormal"/>
              <w:tabs>
                <w:tab w:val="left" w:pos="304"/>
                <w:tab w:val="left" w:pos="1684"/>
              </w:tabs>
              <w:ind w:left="460" w:firstLine="0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C50491">
        <w:trPr>
          <w:trHeight w:val="333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645"/>
                <w:tab w:val="left" w:pos="1684"/>
              </w:tabs>
              <w:ind w:firstLine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Инженер-сметчик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91" w:rsidRDefault="00665272">
            <w:pPr>
              <w:pStyle w:val="ConsPlusNormal"/>
              <w:tabs>
                <w:tab w:val="left" w:pos="304"/>
                <w:tab w:val="left" w:pos="1684"/>
              </w:tabs>
              <w:ind w:firstLine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1,0 - 1,45</w:t>
            </w:r>
          </w:p>
        </w:tc>
        <w:tc>
          <w:tcPr>
            <w:tcW w:w="802" w:type="dxa"/>
            <w:tcMar>
              <w:top w:w="0" w:type="dxa"/>
              <w:bottom w:w="0" w:type="dxa"/>
            </w:tcMar>
          </w:tcPr>
          <w:p w:rsidR="00C50491" w:rsidRDefault="00665272">
            <w:pPr>
              <w:pStyle w:val="ConsPlusNormal"/>
              <w:tabs>
                <w:tab w:val="left" w:pos="-107"/>
                <w:tab w:val="left" w:pos="34"/>
                <w:tab w:val="left" w:pos="1684"/>
              </w:tabs>
              <w:ind w:firstLine="0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6"/>
                <w:szCs w:val="26"/>
              </w:rPr>
              <w:t>»;</w:t>
            </w:r>
          </w:p>
        </w:tc>
      </w:tr>
    </w:tbl>
    <w:p w:rsidR="00C50491" w:rsidRDefault="00C50491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8"/>
          <w:szCs w:val="28"/>
        </w:rPr>
        <w:t>1.2 пункт 5.1 раздела 5 изложить в следующей редакции:</w:t>
      </w:r>
    </w:p>
    <w:p w:rsidR="00C50491" w:rsidRDefault="00665272">
      <w:pPr>
        <w:spacing w:after="0" w:line="360" w:lineRule="auto"/>
        <w:ind w:firstLine="54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«5.1. </w:t>
      </w:r>
      <w:proofErr w:type="gramStart"/>
      <w:r>
        <w:rPr>
          <w:rFonts w:ascii="PT Astra Serif" w:hAnsi="PT Astra Serif"/>
          <w:sz w:val="28"/>
          <w:szCs w:val="28"/>
        </w:rPr>
        <w:t>При формировании фонда оплаты труда работников предусматриваются средства для выплаты (в расчете на год) окладов (должностных окладов), выплат (надбавок) стимулирующего характера, 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Республики Хакасия, в размере 69,4 базовых окладов</w:t>
      </w:r>
      <w:proofErr w:type="gramEnd"/>
      <w:r>
        <w:rPr>
          <w:rFonts w:ascii="PT Astra Serif" w:hAnsi="PT Astra Serif"/>
          <w:sz w:val="28"/>
          <w:szCs w:val="28"/>
        </w:rPr>
        <w:t xml:space="preserve"> (базовых должностных окладов)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после официального опубликования и распространяется на правоотношения, возникшие с 01.01.2026 года.  </w:t>
      </w: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3. Управляющему делами Администрации Усть-Абаканского муниципального района Республики Хакасия </w:t>
      </w:r>
      <w:proofErr w:type="spellStart"/>
      <w:r>
        <w:rPr>
          <w:rFonts w:ascii="PT Astra Serif" w:hAnsi="PT Astra Serif" w:cs="Times New Roman"/>
          <w:sz w:val="28"/>
          <w:szCs w:val="28"/>
        </w:rPr>
        <w:t>Лемытской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О.В.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</w:t>
      </w:r>
      <w:r>
        <w:rPr>
          <w:rFonts w:ascii="PT Astra Serif" w:hAnsi="PT Astra Serif" w:cs="Times New Roman"/>
          <w:sz w:val="28"/>
          <w:szCs w:val="28"/>
        </w:rPr>
        <w:t>на официальном сайте Администрации                  Усть-Абаканского муниципального района Республики Хакасия в сети Интернет.</w:t>
      </w: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4. Главному редактору МАУ </w:t>
      </w:r>
      <w:bookmarkStart w:id="2" w:name="_GoBack"/>
      <w:bookmarkEnd w:id="2"/>
      <w:r>
        <w:rPr>
          <w:rFonts w:ascii="PT Astra Serif" w:hAnsi="PT Astra Serif" w:cs="Times New Roman"/>
          <w:sz w:val="28"/>
          <w:szCs w:val="28"/>
        </w:rPr>
        <w:t>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C50491" w:rsidRDefault="00665272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                               на Павленко С.В. – исполняющего обязанности заместителя Главы Администрации Усть-Абаканского муниципального района Республики Хакасия по социальным вопросам.</w:t>
      </w:r>
    </w:p>
    <w:p w:rsidR="00C50491" w:rsidRDefault="00C50491">
      <w:pPr>
        <w:spacing w:after="0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Ind w:w="109" w:type="dxa"/>
        <w:tblLayout w:type="fixed"/>
        <w:tblLook w:val="0000"/>
      </w:tblPr>
      <w:tblGrid>
        <w:gridCol w:w="6096"/>
        <w:gridCol w:w="3368"/>
      </w:tblGrid>
      <w:tr w:rsidR="00C50491">
        <w:tc>
          <w:tcPr>
            <w:tcW w:w="6095" w:type="dxa"/>
            <w:shd w:val="clear" w:color="auto" w:fill="auto"/>
          </w:tcPr>
          <w:p w:rsidR="00C50491" w:rsidRDefault="0066527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50491" w:rsidRDefault="0066527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C50491" w:rsidRDefault="00C50491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50491" w:rsidRDefault="00665272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Е.В. Егорова</w:t>
            </w:r>
          </w:p>
        </w:tc>
      </w:tr>
      <w:tr w:rsidR="00C50491">
        <w:trPr>
          <w:trHeight w:hRule="exact" w:val="1206"/>
        </w:trPr>
        <w:tc>
          <w:tcPr>
            <w:tcW w:w="9463" w:type="dxa"/>
            <w:gridSpan w:val="2"/>
            <w:shd w:val="clear" w:color="auto" w:fill="auto"/>
          </w:tcPr>
          <w:p w:rsidR="00C50491" w:rsidRDefault="00C50491">
            <w:pPr>
              <w:spacing w:after="0" w:line="240" w:lineRule="auto"/>
              <w:ind w:left="3119"/>
              <w:rPr>
                <w:rFonts w:ascii="PT Astra Serif" w:hAnsi="PT Astra Serif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C50491" w:rsidRDefault="00C50491">
      <w:pPr>
        <w:spacing w:line="240" w:lineRule="auto"/>
        <w:rPr>
          <w:rFonts w:ascii="PT Astra Serif" w:hAnsi="PT Astra Serif" w:cs="Times New Roman"/>
          <w:sz w:val="26"/>
          <w:szCs w:val="26"/>
        </w:rPr>
      </w:pPr>
    </w:p>
    <w:sectPr w:rsidR="00C50491" w:rsidSect="00235CF3">
      <w:pgSz w:w="11906" w:h="16838"/>
      <w:pgMar w:top="1200" w:right="740" w:bottom="72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50491"/>
    <w:rsid w:val="00235CF3"/>
    <w:rsid w:val="00665272"/>
    <w:rsid w:val="00C50491"/>
    <w:rsid w:val="00EE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styleId="a9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235CF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235CF3"/>
    <w:pPr>
      <w:spacing w:after="140"/>
    </w:pPr>
  </w:style>
  <w:style w:type="paragraph" w:styleId="ac">
    <w:name w:val="List"/>
    <w:basedOn w:val="ab"/>
    <w:rsid w:val="00235CF3"/>
    <w:rPr>
      <w:rFonts w:ascii="PT Astra Serif" w:hAnsi="PT Astra Serif" w:cs="Noto Sans Devanagari"/>
    </w:rPr>
  </w:style>
  <w:style w:type="paragraph" w:styleId="ad">
    <w:name w:val="caption"/>
    <w:basedOn w:val="a"/>
    <w:qFormat/>
    <w:rsid w:val="00235CF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235CF3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235CF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235CF3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235CF3"/>
    <w:pPr>
      <w:widowControl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765D-9E10-4AE6-B17E-EE2D0238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19</cp:revision>
  <cp:lastPrinted>2026-02-19T09:00:00Z</cp:lastPrinted>
  <dcterms:created xsi:type="dcterms:W3CDTF">2025-02-17T09:22:00Z</dcterms:created>
  <dcterms:modified xsi:type="dcterms:W3CDTF">2026-02-26T01:53:00Z</dcterms:modified>
  <dc:language>ru-RU</dc:language>
</cp:coreProperties>
</file>