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560088A0" w:rsidR="00633B84" w:rsidRDefault="00641916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743781EE" w14:textId="10806D71"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</w:p>
    <w:p w14:paraId="29F343C5" w14:textId="6D8658A9" w:rsidR="00F36D0F" w:rsidRPr="00197930" w:rsidRDefault="00614C7B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bookmarkStart w:id="0" w:name="_GoBack"/>
      <w:bookmarkEnd w:id="0"/>
      <w:r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6B3B136A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>с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целью признания социальным предприятием и в </w:t>
      </w:r>
      <w:proofErr w:type="gramStart"/>
      <w:r w:rsidR="00633B84" w:rsidRPr="00BD557B">
        <w:rPr>
          <w:rFonts w:ascii="Georgia" w:hAnsi="Georgia" w:cs="Times New Roman"/>
          <w:sz w:val="24"/>
          <w:szCs w:val="24"/>
        </w:rPr>
        <w:t>дальнейшем</w:t>
      </w:r>
      <w:proofErr w:type="gramEnd"/>
      <w:r w:rsidR="00633B84" w:rsidRPr="00BD557B">
        <w:rPr>
          <w:rFonts w:ascii="Georgia" w:hAnsi="Georgia" w:cs="Times New Roman"/>
          <w:sz w:val="24"/>
          <w:szCs w:val="24"/>
        </w:rPr>
        <w:t xml:space="preserve">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9BD9B50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5DE7C4BF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6806B385" w:rsidR="007763E6" w:rsidRPr="0061532C" w:rsidRDefault="007763E6" w:rsidP="00B7070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="00B8437B">
          <w:rPr>
            <w:rFonts w:ascii="Georgia" w:hAnsi="Georgia" w:cs="Times New Roman"/>
            <w:sz w:val="24"/>
            <w:szCs w:val="24"/>
          </w:rPr>
          <w:t>пунктах «</w:t>
        </w:r>
        <w:r w:rsidRPr="0061532C">
          <w:rPr>
            <w:rFonts w:ascii="Georgia" w:hAnsi="Georgia" w:cs="Times New Roman"/>
            <w:sz w:val="24"/>
            <w:szCs w:val="24"/>
          </w:rPr>
          <w:t>а</w:t>
        </w:r>
      </w:hyperlink>
      <w:r w:rsidR="00B8437B">
        <w:rPr>
          <w:rFonts w:ascii="Georgia" w:hAnsi="Georgia" w:cs="Times New Roman"/>
          <w:sz w:val="24"/>
          <w:szCs w:val="24"/>
        </w:rPr>
        <w:t>»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="00B8437B">
          <w:rPr>
            <w:rFonts w:ascii="Georgia" w:hAnsi="Georgia" w:cs="Times New Roman"/>
            <w:sz w:val="24"/>
            <w:szCs w:val="24"/>
          </w:rPr>
          <w:t>«</w:t>
        </w:r>
        <w:r w:rsidRPr="00267547">
          <w:rPr>
            <w:rFonts w:ascii="Georgia" w:hAnsi="Georgia" w:cs="Times New Roman"/>
            <w:sz w:val="24"/>
            <w:szCs w:val="24"/>
          </w:rPr>
          <w:t>з</w:t>
        </w:r>
      </w:hyperlink>
      <w:r w:rsidR="00B8437B">
        <w:rPr>
          <w:rFonts w:ascii="Georgia" w:hAnsi="Georgia" w:cs="Times New Roman"/>
          <w:sz w:val="24"/>
          <w:szCs w:val="24"/>
        </w:rPr>
        <w:t>»</w:t>
      </w:r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6204649" w14:textId="77777777"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14:paraId="5085DEC3" w14:textId="76643226"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</w:t>
      </w:r>
      <w:proofErr w:type="gramEnd"/>
      <w:r w:rsidR="00474F4D" w:rsidRPr="00CD5D69">
        <w:rPr>
          <w:rFonts w:ascii="Georgia" w:hAnsi="Georgia" w:cs="Times New Roman"/>
          <w:sz w:val="24"/>
          <w:szCs w:val="24"/>
        </w:rPr>
        <w:t xml:space="preserve">% среди других работников, а доля расходов на оплату труда таких лиц – не менее 25% в </w:t>
      </w:r>
      <w:proofErr w:type="gramStart"/>
      <w:r w:rsidR="00474F4D" w:rsidRPr="00CD5D69">
        <w:rPr>
          <w:rFonts w:ascii="Georgia" w:hAnsi="Georgia" w:cs="Times New Roman"/>
          <w:sz w:val="24"/>
          <w:szCs w:val="24"/>
        </w:rPr>
        <w:t>расходах</w:t>
      </w:r>
      <w:proofErr w:type="gramEnd"/>
      <w:r w:rsidR="00474F4D" w:rsidRPr="00CD5D69">
        <w:rPr>
          <w:rFonts w:ascii="Georgia" w:hAnsi="Georgia" w:cs="Times New Roman"/>
          <w:sz w:val="24"/>
          <w:szCs w:val="24"/>
        </w:rPr>
        <w:t xml:space="preserve"> на оплату труда.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60BA9DEC" w:rsidR="00FF3349" w:rsidRDefault="00897293" w:rsidP="00B8437B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B8437B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B8437B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B8437B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B8437B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B8437B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4CEA0404" w:rsidR="00904D68" w:rsidRPr="00773E71" w:rsidRDefault="00904D68" w:rsidP="00B8437B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3976BD6"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36BFD2AA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14:paraId="5E8E9A4B" w14:textId="7801980D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lastRenderedPageBreak/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251F6B4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1E44E6E2" w14:textId="77777777"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1B0B9897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  <w:proofErr w:type="gramEnd"/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70C0E7F7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CD5D6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CD5D6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CD5D6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  <w:proofErr w:type="gramEnd"/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lastRenderedPageBreak/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gramStart"/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15898980" w14:textId="64BE6011"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предпринимательстве может стать решающей в признании заявителя социальным предприятием.</w:t>
      </w:r>
    </w:p>
    <w:p w14:paraId="586CA95F" w14:textId="326A6B74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70947B9A" w14:textId="0B82D191"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14:paraId="0B56A37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14:paraId="15C9712F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14:paraId="6C07DBF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48E3593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14:paraId="5EAA0DB6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14:paraId="3CDCD9A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7F95DF8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33AC7F41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7B9AB25B" w14:textId="3F9F3197"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</w:t>
      </w:r>
      <w:proofErr w:type="gramStart"/>
      <w:r>
        <w:rPr>
          <w:rFonts w:ascii="Georgia" w:hAnsi="Georgia" w:cs="Times New Roman"/>
          <w:sz w:val="24"/>
          <w:szCs w:val="24"/>
        </w:rPr>
        <w:t>нуждающимися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14:paraId="78B953C7" w14:textId="77777777"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14:paraId="25F8DE34" w14:textId="253A048E"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2B78B138" w14:textId="7CC2AE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CE78217" w14:textId="1CDA7E49"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14:paraId="7296BAF3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14:paraId="56C0D4B5" w14:textId="63427A73"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643E5D92" w14:textId="1786CC5D"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  <w:proofErr w:type="gramEnd"/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345D50BF" w14:textId="1E172433"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Заявитель-организация, </w:t>
      </w:r>
      <w:proofErr w:type="gramStart"/>
      <w:r w:rsidRPr="00F36D0F">
        <w:rPr>
          <w:rFonts w:ascii="Georgia" w:hAnsi="Georgia" w:cs="Times New Roman"/>
          <w:i/>
          <w:sz w:val="24"/>
          <w:szCs w:val="24"/>
          <w:lang w:val="ru-RU"/>
        </w:rPr>
        <w:t>применяющая</w:t>
      </w:r>
      <w:proofErr w:type="gramEnd"/>
      <w:r w:rsidRPr="00F36D0F">
        <w:rPr>
          <w:rFonts w:ascii="Georgia" w:hAnsi="Georgia" w:cs="Times New Roman"/>
          <w:i/>
          <w:sz w:val="24"/>
          <w:szCs w:val="24"/>
          <w:lang w:val="ru-RU"/>
        </w:rPr>
        <w:t xml:space="preserve">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6335FB" w14:paraId="68293642" w14:textId="77777777" w:rsidTr="00307C7C">
        <w:tc>
          <w:tcPr>
            <w:tcW w:w="524" w:type="dxa"/>
          </w:tcPr>
          <w:p w14:paraId="0B9E7BCD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5B013AE4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78EA8A5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6335FB" w14:paraId="43C29D60" w14:textId="77777777" w:rsidTr="00307C7C">
        <w:tc>
          <w:tcPr>
            <w:tcW w:w="524" w:type="dxa"/>
          </w:tcPr>
          <w:p w14:paraId="10137EC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1CD4736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Социальная проблема (потребность потребителя), на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0C9C830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Необходимость создания особых условий трудоустройства для инвалидов, позволяющих им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участвовать в трудовой деятельности</w:t>
            </w:r>
          </w:p>
        </w:tc>
      </w:tr>
      <w:tr w:rsidR="00F36D0F" w:rsidRPr="009000A9" w14:paraId="28C412A7" w14:textId="77777777" w:rsidTr="00307C7C">
        <w:tc>
          <w:tcPr>
            <w:tcW w:w="524" w:type="dxa"/>
          </w:tcPr>
          <w:p w14:paraId="1C1C3CA7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3866" w:type="dxa"/>
          </w:tcPr>
          <w:p w14:paraId="024F8D31" w14:textId="4C767020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169CDFF6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6335FB" w14:paraId="55F0EEA0" w14:textId="77777777" w:rsidTr="00307C7C">
        <w:tc>
          <w:tcPr>
            <w:tcW w:w="524" w:type="dxa"/>
          </w:tcPr>
          <w:p w14:paraId="050C4C64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4A2E993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590AA47E"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6335FB" w14:paraId="1C5A6F0A" w14:textId="77777777" w:rsidTr="00307C7C">
        <w:tc>
          <w:tcPr>
            <w:tcW w:w="524" w:type="dxa"/>
          </w:tcPr>
          <w:p w14:paraId="16FF5E7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4D407BAC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290720A9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Производство укупорочной продукции (пробок, крышек, колпачков и т.д.)</w:t>
            </w:r>
          </w:p>
        </w:tc>
      </w:tr>
    </w:tbl>
    <w:p w14:paraId="54629BB0" w14:textId="3F203DBE"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42"/>
        <w:gridCol w:w="2478"/>
        <w:gridCol w:w="3981"/>
        <w:gridCol w:w="3038"/>
      </w:tblGrid>
      <w:tr w:rsidR="00484D50" w:rsidRPr="006335FB" w14:paraId="41B20D9A" w14:textId="77777777" w:rsidTr="00235D97">
        <w:trPr>
          <w:cantSplit/>
          <w:tblHeader/>
        </w:trPr>
        <w:tc>
          <w:tcPr>
            <w:tcW w:w="317" w:type="pct"/>
            <w:vAlign w:val="center"/>
          </w:tcPr>
          <w:p w14:paraId="1D76D695" w14:textId="41DE69AE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 xml:space="preserve">№ </w:t>
            </w:r>
            <w:proofErr w:type="gramStart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п</w:t>
            </w:r>
            <w:proofErr w:type="gramEnd"/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/п</w:t>
            </w:r>
          </w:p>
        </w:tc>
        <w:tc>
          <w:tcPr>
            <w:tcW w:w="1222" w:type="pct"/>
            <w:vAlign w:val="center"/>
          </w:tcPr>
          <w:p w14:paraId="7312C4DA" w14:textId="1C70450D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14:paraId="3216DE46" w14:textId="53C10AD2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14:paraId="3259FFAB" w14:textId="4D59871A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14:paraId="237B072A" w14:textId="77777777" w:rsidTr="00235D97">
        <w:trPr>
          <w:cantSplit/>
        </w:trPr>
        <w:tc>
          <w:tcPr>
            <w:tcW w:w="317" w:type="pct"/>
          </w:tcPr>
          <w:p w14:paraId="4929EF24" w14:textId="1101A20D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68C8216D" w14:textId="7980E7E0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Инвалиды и лица с ограниченными </w:t>
            </w:r>
            <w:r w:rsidRPr="00484D50">
              <w:rPr>
                <w:rFonts w:asciiTheme="majorHAnsi" w:hAnsiTheme="majorHAnsi"/>
                <w:sz w:val="22"/>
                <w:szCs w:val="22"/>
              </w:rPr>
              <w:lastRenderedPageBreak/>
              <w:t>возможностями здоровья</w:t>
            </w:r>
          </w:p>
        </w:tc>
        <w:tc>
          <w:tcPr>
            <w:tcW w:w="1963" w:type="pct"/>
          </w:tcPr>
          <w:p w14:paraId="60B73B45" w14:textId="52DF7115"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lastRenderedPageBreak/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7069BCC0" w14:textId="795B0EAC"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484D50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484D50">
              <w:rPr>
                <w:rFonts w:asciiTheme="majorHAnsi" w:hAnsiTheme="majorHAnsi"/>
                <w:sz w:val="22"/>
                <w:szCs w:val="22"/>
              </w:rPr>
              <w:t xml:space="preserve"> экспертизы </w:t>
            </w:r>
          </w:p>
        </w:tc>
      </w:tr>
      <w:tr w:rsidR="00235D97" w:rsidRPr="006335FB" w14:paraId="1466EA1A" w14:textId="77777777" w:rsidTr="00235D97">
        <w:trPr>
          <w:cantSplit/>
        </w:trPr>
        <w:tc>
          <w:tcPr>
            <w:tcW w:w="317" w:type="pct"/>
          </w:tcPr>
          <w:p w14:paraId="0C6DF8BE" w14:textId="77777777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71EC35CF" w14:textId="77777777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14:paraId="1480F4FB" w14:textId="77777777"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14:paraId="0DD94D86" w14:textId="5882F67C"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proofErr w:type="gramStart"/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>копию заключения психолого-медико-педагогической комиссии.</w:t>
            </w:r>
            <w:proofErr w:type="gramEnd"/>
          </w:p>
        </w:tc>
        <w:tc>
          <w:tcPr>
            <w:tcW w:w="1498" w:type="pct"/>
          </w:tcPr>
          <w:p w14:paraId="3625BE4B" w14:textId="4B5F765E"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B365DF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B365DF">
              <w:rPr>
                <w:rFonts w:asciiTheme="majorHAnsi" w:hAnsiTheme="majorHAnsi"/>
                <w:sz w:val="22"/>
                <w:szCs w:val="22"/>
              </w:rPr>
              <w:t xml:space="preserve"> экспертизы</w:t>
            </w:r>
          </w:p>
          <w:p w14:paraId="284CE49E" w14:textId="1FB3BFA3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14:paraId="56530D8A" w14:textId="77777777"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 комиссия</w:t>
            </w:r>
          </w:p>
          <w:p w14:paraId="647FC2F4" w14:textId="6C91F30A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6335FB" w14:paraId="1CF77772" w14:textId="77777777" w:rsidTr="00235D97">
        <w:trPr>
          <w:cantSplit/>
        </w:trPr>
        <w:tc>
          <w:tcPr>
            <w:tcW w:w="317" w:type="pct"/>
          </w:tcPr>
          <w:p w14:paraId="0CFA48BC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78C4FDE1" w14:textId="5121F6D7"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14:paraId="384C99AC" w14:textId="1A5B1CA2"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14:paraId="6DB03BEA" w14:textId="60270D2B"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14:paraId="7A9DA444" w14:textId="77777777" w:rsidTr="00235D97">
        <w:trPr>
          <w:cantSplit/>
        </w:trPr>
        <w:tc>
          <w:tcPr>
            <w:tcW w:w="317" w:type="pct"/>
          </w:tcPr>
          <w:p w14:paraId="1A8ACB0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599C61C0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F5EED26" w14:textId="0C0785D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14:paraId="57BCA1F2" w14:textId="629982FC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0E47FDCA" w14:textId="77777777" w:rsidTr="00235D97">
        <w:trPr>
          <w:cantSplit/>
        </w:trPr>
        <w:tc>
          <w:tcPr>
            <w:tcW w:w="317" w:type="pct"/>
          </w:tcPr>
          <w:p w14:paraId="457624D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606FE68E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FECB3FF" w14:textId="2710D4EF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14:paraId="76C21261" w14:textId="35FE0B05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14:paraId="2BEC8378" w14:textId="77777777" w:rsidTr="00235D97">
        <w:trPr>
          <w:cantSplit/>
        </w:trPr>
        <w:tc>
          <w:tcPr>
            <w:tcW w:w="317" w:type="pct"/>
          </w:tcPr>
          <w:p w14:paraId="6D757B6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F0BB6B2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0F6C9ED0" w14:textId="7DC3BDBB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</w:t>
            </w:r>
            <w:proofErr w:type="gramStart"/>
            <w:r w:rsidR="000F1516" w:rsidRPr="005A52B8">
              <w:rPr>
                <w:rFonts w:asciiTheme="majorHAnsi" w:hAnsiTheme="majorHAnsi"/>
                <w:sz w:val="22"/>
                <w:szCs w:val="22"/>
              </w:rPr>
              <w:t>запись</w:t>
            </w:r>
            <w:proofErr w:type="gramEnd"/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об отце ребенка сделана со слов матери</w:t>
            </w:r>
          </w:p>
        </w:tc>
        <w:tc>
          <w:tcPr>
            <w:tcW w:w="1498" w:type="pct"/>
          </w:tcPr>
          <w:p w14:paraId="5515445D" w14:textId="42C0424D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1BB8590D" w14:textId="77777777" w:rsidTr="00235D97">
        <w:trPr>
          <w:cantSplit/>
        </w:trPr>
        <w:tc>
          <w:tcPr>
            <w:tcW w:w="317" w:type="pct"/>
          </w:tcPr>
          <w:p w14:paraId="11B91F46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05F171A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1AA220D6" w14:textId="5DF1DEFC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14:paraId="58D26D4F" w14:textId="5E2ED2A4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14:paraId="335498AC" w14:textId="77777777" w:rsidTr="00235D97">
        <w:trPr>
          <w:cantSplit/>
        </w:trPr>
        <w:tc>
          <w:tcPr>
            <w:tcW w:w="317" w:type="pct"/>
          </w:tcPr>
          <w:p w14:paraId="51A1C5F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6342344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939CAAF" w14:textId="330DD474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14:paraId="19217365" w14:textId="30E6E041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14:paraId="2DBC0AD0" w14:textId="77777777" w:rsidTr="00235D97">
        <w:trPr>
          <w:cantSplit/>
        </w:trPr>
        <w:tc>
          <w:tcPr>
            <w:tcW w:w="317" w:type="pct"/>
          </w:tcPr>
          <w:p w14:paraId="0D34CF8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0B089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4855B9A6" w14:textId="43D0BDC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14:paraId="1BBFF238" w14:textId="1ABB73FB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14:paraId="48BB7F6D" w14:textId="77777777" w:rsidTr="00235D97">
        <w:trPr>
          <w:cantSplit/>
        </w:trPr>
        <w:tc>
          <w:tcPr>
            <w:tcW w:w="317" w:type="pct"/>
          </w:tcPr>
          <w:p w14:paraId="5B6CBB90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75645B0D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605F676" w14:textId="04F0A7D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14:paraId="4DCCE6B5" w14:textId="0CC71B93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14:paraId="028554BE" w14:textId="77777777" w:rsidTr="00235D97">
        <w:trPr>
          <w:cantSplit/>
        </w:trPr>
        <w:tc>
          <w:tcPr>
            <w:tcW w:w="317" w:type="pct"/>
          </w:tcPr>
          <w:p w14:paraId="5E7D9441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12AD730F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323BA14" w14:textId="31CF2F0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14:paraId="2CA64A83" w14:textId="73DF88C8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2533AD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экспертизы </w:t>
            </w:r>
          </w:p>
        </w:tc>
      </w:tr>
      <w:tr w:rsidR="00484D50" w:rsidRPr="00484D50" w14:paraId="3D8F6729" w14:textId="77777777" w:rsidTr="00235D97">
        <w:trPr>
          <w:cantSplit/>
        </w:trPr>
        <w:tc>
          <w:tcPr>
            <w:tcW w:w="317" w:type="pct"/>
          </w:tcPr>
          <w:p w14:paraId="7E33DB42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266F6219" w14:textId="1EDA2E48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14:paraId="1A131AF2" w14:textId="618F4EA6"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14:paraId="69FD82CA" w14:textId="6ACA2EC1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B7070D" w14:paraId="286834EF" w14:textId="77777777" w:rsidTr="00235D97">
        <w:trPr>
          <w:cantSplit/>
        </w:trPr>
        <w:tc>
          <w:tcPr>
            <w:tcW w:w="317" w:type="pct"/>
          </w:tcPr>
          <w:p w14:paraId="381D3FD2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14:paraId="5526320E" w14:textId="59665D2A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Пенсионеры и (или) граждане </w:t>
            </w:r>
            <w:proofErr w:type="spellStart"/>
            <w:r w:rsidRPr="002533AD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14:paraId="355B29F7" w14:textId="6A0B92DD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198AC42B" w14:textId="763C55FF"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14:paraId="31B2F32C" w14:textId="77CA46E4"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14:paraId="0565AB45" w14:textId="35106A1B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</w:t>
            </w:r>
            <w:proofErr w:type="gramStart"/>
            <w:r w:rsidRPr="002533AD">
              <w:rPr>
                <w:rFonts w:asciiTheme="majorHAnsi" w:hAnsiTheme="majorHAnsi"/>
                <w:sz w:val="22"/>
                <w:szCs w:val="22"/>
              </w:rPr>
              <w:t>медико-социальной</w:t>
            </w:r>
            <w:proofErr w:type="gramEnd"/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экспертизы </w:t>
            </w:r>
          </w:p>
        </w:tc>
      </w:tr>
      <w:tr w:rsidR="00235D97" w:rsidRPr="00484D50" w14:paraId="2B9B44CC" w14:textId="77777777" w:rsidTr="00235D97">
        <w:trPr>
          <w:cantSplit/>
        </w:trPr>
        <w:tc>
          <w:tcPr>
            <w:tcW w:w="317" w:type="pct"/>
          </w:tcPr>
          <w:p w14:paraId="04720B00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261CC309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8730769" w14:textId="23BF1479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14:paraId="2FF02A80" w14:textId="74E50C4E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14:paraId="45DA1897" w14:textId="77777777" w:rsidTr="00235D97">
        <w:trPr>
          <w:cantSplit/>
        </w:trPr>
        <w:tc>
          <w:tcPr>
            <w:tcW w:w="317" w:type="pct"/>
          </w:tcPr>
          <w:p w14:paraId="21E73844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6659C7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778EEF4C" w14:textId="12BC3F42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5A52B8">
              <w:rPr>
                <w:rFonts w:asciiTheme="majorHAnsi" w:hAnsiTheme="majorHAnsi"/>
                <w:sz w:val="22"/>
                <w:szCs w:val="22"/>
              </w:rPr>
              <w:t>предпенсионного</w:t>
            </w:r>
            <w:proofErr w:type="spellEnd"/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14:paraId="417F25CE" w14:textId="10AFD9FF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6335FB" w14:paraId="28497657" w14:textId="77777777" w:rsidTr="00235D97">
        <w:trPr>
          <w:cantSplit/>
        </w:trPr>
        <w:tc>
          <w:tcPr>
            <w:tcW w:w="317" w:type="pct"/>
          </w:tcPr>
          <w:p w14:paraId="7690F9E0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32CF02E8" w14:textId="148089CC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14:paraId="4AAF53ED" w14:textId="2B22CCED"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14:paraId="4333762D" w14:textId="518DD476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6335FB" w14:paraId="091F1CF8" w14:textId="77777777" w:rsidTr="00235D97">
        <w:trPr>
          <w:cantSplit/>
        </w:trPr>
        <w:tc>
          <w:tcPr>
            <w:tcW w:w="317" w:type="pct"/>
          </w:tcPr>
          <w:p w14:paraId="438CD657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0D078D84" w14:textId="7DA5EDC4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14:paraId="75CCC67C" w14:textId="619F7269"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14:paraId="4BE77277" w14:textId="4B83DF33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14:paraId="483F432B" w14:textId="77777777" w:rsidTr="00235D97">
        <w:trPr>
          <w:cantSplit/>
        </w:trPr>
        <w:tc>
          <w:tcPr>
            <w:tcW w:w="317" w:type="pct"/>
          </w:tcPr>
          <w:p w14:paraId="46EE8FC3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90E0FB8" w14:textId="5C51E62D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14:paraId="3B7DE48E" w14:textId="0D791384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малоимущим</w:t>
            </w:r>
            <w:proofErr w:type="gramEnd"/>
          </w:p>
        </w:tc>
        <w:tc>
          <w:tcPr>
            <w:tcW w:w="1498" w:type="pct"/>
          </w:tcPr>
          <w:p w14:paraId="67B5E5D6" w14:textId="64A0643D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6335FB" w14:paraId="5025139C" w14:textId="77777777" w:rsidTr="00235D97">
        <w:trPr>
          <w:cantSplit/>
        </w:trPr>
        <w:tc>
          <w:tcPr>
            <w:tcW w:w="317" w:type="pct"/>
          </w:tcPr>
          <w:p w14:paraId="67088AC4" w14:textId="77777777"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DC075F1" w14:textId="6DCB1463"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14:paraId="6B79783D" w14:textId="78AEAE44"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14:paraId="2E06A643" w14:textId="21B6E2F3"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6335FB" w14:paraId="09D948DE" w14:textId="77777777" w:rsidTr="00235D97">
        <w:trPr>
          <w:cantSplit/>
        </w:trPr>
        <w:tc>
          <w:tcPr>
            <w:tcW w:w="317" w:type="pct"/>
          </w:tcPr>
          <w:p w14:paraId="062C8108" w14:textId="77777777"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745EBC30" w14:textId="4BFE1307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14:paraId="716664B0" w14:textId="577E7338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</w:t>
            </w:r>
            <w:proofErr w:type="gramStart"/>
            <w:r w:rsidR="00484D50" w:rsidRPr="002533AD">
              <w:rPr>
                <w:rFonts w:asciiTheme="majorHAnsi" w:hAnsiTheme="majorHAnsi"/>
                <w:sz w:val="22"/>
                <w:szCs w:val="22"/>
              </w:rPr>
              <w:t>нуждающимся</w:t>
            </w:r>
            <w:proofErr w:type="gramEnd"/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в социальном обслуживании</w:t>
            </w:r>
          </w:p>
        </w:tc>
        <w:tc>
          <w:tcPr>
            <w:tcW w:w="1498" w:type="pct"/>
          </w:tcPr>
          <w:p w14:paraId="00319978" w14:textId="61F6D1A9"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14:paraId="0C312E3E" w14:textId="6E6F031C"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BACDA83" w14:textId="3909E50D"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14:paraId="6147BDE9" w14:textId="14CB418A"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14:paraId="184D8A42" w14:textId="77777777"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  <w:proofErr w:type="gramEnd"/>
    </w:p>
    <w:p w14:paraId="71BDCE0E" w14:textId="77777777"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14:paraId="1996E540" w14:textId="77777777"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14:paraId="4CE58CF5" w14:textId="77777777"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="002B5DD0"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="002B5DD0"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14:paraId="1D5D8280" w14:textId="77777777"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14:paraId="276426C4" w14:textId="6D9270AB"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14:paraId="483004DE" w14:textId="77777777"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7537A66A" w14:textId="77777777"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72F834AE" w14:textId="77777777"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</w:t>
      </w:r>
      <w:r w:rsidRPr="0061532C">
        <w:rPr>
          <w:rFonts w:ascii="Georgia" w:hAnsi="Georgia" w:cs="Times New Roman"/>
          <w:sz w:val="24"/>
          <w:szCs w:val="24"/>
        </w:rPr>
        <w:lastRenderedPageBreak/>
        <w:t>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14:paraId="3709E0F0" w14:textId="77777777"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1107160E" w14:textId="77777777"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57E5D9C5" w14:textId="77777777"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27E04DBC" w14:textId="4B2F4480"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  <w:proofErr w:type="gramEnd"/>
    </w:p>
    <w:p w14:paraId="6312DFBD" w14:textId="77777777"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661E4992" w14:textId="77777777"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14:paraId="32F9662B" w14:textId="77777777"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24D14A54" w14:textId="77777777"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0C1D2FAB" w14:textId="77777777"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56BA5A9B" w14:textId="60BBA196"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14:paraId="4632E1F2" w14:textId="77777777"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14:paraId="2912E180" w14:textId="77777777"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2479F2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2479F2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5461A425" w14:textId="77777777"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14:paraId="40E30592" w14:textId="77777777"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14:paraId="60597B9E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трое лиц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3E84479" w14:textId="77777777"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  <w:proofErr w:type="gramEnd"/>
    </w:p>
    <w:p w14:paraId="6097BB42" w14:textId="7E09479B"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="00FD1E45" w:rsidRPr="00AD1769">
        <w:rPr>
          <w:rFonts w:ascii="Georgia" w:hAnsi="Georgia" w:cs="Times New Roman"/>
          <w:sz w:val="24"/>
          <w:szCs w:val="24"/>
        </w:rPr>
        <w:t>несписочного</w:t>
      </w:r>
      <w:proofErr w:type="spellEnd"/>
      <w:r w:rsidR="00FD1E45" w:rsidRPr="00AD1769">
        <w:rPr>
          <w:rFonts w:ascii="Georgia" w:hAnsi="Georgia" w:cs="Times New Roman"/>
          <w:sz w:val="24"/>
          <w:szCs w:val="24"/>
        </w:rPr>
        <w:t xml:space="preserve">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14:paraId="37F7C2FF" w14:textId="77777777"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14:paraId="37007951" w14:textId="77777777"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283AF99C" w14:textId="77777777"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79869FB3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14:paraId="3CA9818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14:paraId="4DDBCAE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14:paraId="0402C64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797C34A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CFDD03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02A12D2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0920BC4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47E406A0" w14:textId="77777777"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11DEF441" w14:textId="77777777"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14:paraId="314D2A12" w14:textId="77777777"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14:paraId="7853C0D0" w14:textId="77777777"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 xml:space="preserve">пенсионеры и граждане </w:t>
      </w:r>
      <w:proofErr w:type="spellStart"/>
      <w:r w:rsidRPr="007E05B2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7E05B2">
        <w:rPr>
          <w:rFonts w:ascii="Georgia" w:hAnsi="Georgia" w:cs="Times New Roman"/>
          <w:sz w:val="24"/>
          <w:szCs w:val="24"/>
        </w:rPr>
        <w:t xml:space="preserve"> возраста:</w:t>
      </w:r>
    </w:p>
    <w:p w14:paraId="4018E852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169555E7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0D36A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7F6F6FD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86E4305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90DDB0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397741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44CFE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C7A44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F63E3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BD989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6931C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4A68C69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</w:t>
      </w:r>
      <w:proofErr w:type="spellStart"/>
      <w:r w:rsidRPr="00BA60FA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BA60FA">
        <w:rPr>
          <w:rFonts w:ascii="Georgia" w:hAnsi="Georgia" w:cs="Times New Roman"/>
          <w:sz w:val="24"/>
          <w:szCs w:val="24"/>
        </w:rPr>
        <w:t xml:space="preserve">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465728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2E6C151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14:paraId="0992FCF9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66FF86F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73E8A5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14:paraId="3F0F5FA6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52B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FE5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770C6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C77844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019859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2E277CF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3BF24B5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59418EF0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14:paraId="431585D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BBBB410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5AF79D6E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5F7A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1DB01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9C4E50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19347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A27696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50266BB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82C127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CE174E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660F9B4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1585D9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60B0C40" w14:textId="77777777"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0E1B509" w14:textId="77777777"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14:paraId="4DEB1201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14:paraId="4E1E943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14:paraId="0629ED3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14:paraId="117EE10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14:paraId="4B8C89C9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14:paraId="698ECA98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14:paraId="25FF1C9C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14:paraId="46F95C0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674C135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14:paraId="6C8FD809" w14:textId="4F1C69F6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14:paraId="655FB7C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14:paraId="2419ECF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11A57962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42B39C91" w14:textId="720F1908"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02E770B4" w14:textId="36B86C61"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537448" w:rsidRPr="006335FB" w14:paraId="5DA4B4DD" w14:textId="77777777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14:paraId="52F571E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№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14:paraId="2D20191E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70581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14:paraId="47F002B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14:paraId="7AD44A21" w14:textId="77777777" w:rsidTr="003C1846">
        <w:trPr>
          <w:trHeight w:val="363"/>
          <w:jc w:val="center"/>
        </w:trPr>
        <w:tc>
          <w:tcPr>
            <w:tcW w:w="562" w:type="dxa"/>
          </w:tcPr>
          <w:p w14:paraId="12BB7DB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DD1CF5C" w14:textId="77777777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14:paraId="350CD104" w14:textId="77777777"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14:paraId="47BB6310" w14:textId="77777777"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14:paraId="7A98B93B" w14:textId="77777777" w:rsidTr="003C1846">
        <w:trPr>
          <w:jc w:val="center"/>
        </w:trPr>
        <w:tc>
          <w:tcPr>
            <w:tcW w:w="562" w:type="dxa"/>
          </w:tcPr>
          <w:p w14:paraId="3D2CD4B7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14:paraId="7BE94CB7" w14:textId="4D4F55D6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14:paraId="4030F953" w14:textId="77777777"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31D9ADE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14:paraId="06F1856F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14:paraId="75C737C5" w14:textId="77777777" w:rsidTr="003C1846">
        <w:trPr>
          <w:jc w:val="center"/>
        </w:trPr>
        <w:tc>
          <w:tcPr>
            <w:tcW w:w="562" w:type="dxa"/>
          </w:tcPr>
          <w:p w14:paraId="5006F8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14:paraId="36719DEF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14:paraId="3FC4B7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8BFEBD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6335FB" w14:paraId="3D368D86" w14:textId="77777777" w:rsidTr="003C1846">
        <w:trPr>
          <w:jc w:val="center"/>
        </w:trPr>
        <w:tc>
          <w:tcPr>
            <w:tcW w:w="562" w:type="dxa"/>
          </w:tcPr>
          <w:p w14:paraId="76B3884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14:paraId="607F4A61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14:paraId="0E55559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AC045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6335FB" w14:paraId="1D5976A7" w14:textId="77777777" w:rsidTr="003C1846">
        <w:trPr>
          <w:jc w:val="center"/>
        </w:trPr>
        <w:tc>
          <w:tcPr>
            <w:tcW w:w="562" w:type="dxa"/>
          </w:tcPr>
          <w:p w14:paraId="70E021AC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14:paraId="6178B513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14:paraId="6EC781D3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6CC796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44F96420" w14:textId="77777777" w:rsidTr="003C1846">
        <w:trPr>
          <w:jc w:val="center"/>
        </w:trPr>
        <w:tc>
          <w:tcPr>
            <w:tcW w:w="562" w:type="dxa"/>
          </w:tcPr>
          <w:p w14:paraId="0C299440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14:paraId="32291BD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14:paraId="6E1DD09C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8D8D1C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14:paraId="00F4A8B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14:paraId="5F1F72A8" w14:textId="77777777" w:rsidTr="003C1846">
        <w:trPr>
          <w:jc w:val="center"/>
        </w:trPr>
        <w:tc>
          <w:tcPr>
            <w:tcW w:w="562" w:type="dxa"/>
          </w:tcPr>
          <w:p w14:paraId="2E82EBD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14:paraId="6F9DFEE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14:paraId="1B48CA6C" w14:textId="77777777"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528A574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14:paraId="2043ABB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14:paraId="083E28C0" w14:textId="77777777" w:rsidTr="003C1846">
        <w:trPr>
          <w:jc w:val="center"/>
        </w:trPr>
        <w:tc>
          <w:tcPr>
            <w:tcW w:w="562" w:type="dxa"/>
          </w:tcPr>
          <w:p w14:paraId="547E7571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14:paraId="126C44CC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14:paraId="5E980A4B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9CFC4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14:paraId="02AB7F4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14:paraId="4907B531" w14:textId="77777777" w:rsidTr="003C1846">
        <w:trPr>
          <w:jc w:val="center"/>
        </w:trPr>
        <w:tc>
          <w:tcPr>
            <w:tcW w:w="562" w:type="dxa"/>
          </w:tcPr>
          <w:p w14:paraId="53AE077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14:paraId="56608C00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14:paraId="50E7C69F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6BBADCE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0646D6D3" w14:textId="77777777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BEEE3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C5B6E2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5BC16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50D9CD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6335FB" w14:paraId="11724AFC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3A6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D94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A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DC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6335FB" w14:paraId="323B5723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82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2BA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8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1AD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36282448" w14:textId="2FF3CCF8"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D72B" w14:textId="77777777" w:rsidR="00333875" w:rsidRDefault="00333875" w:rsidP="006B5EED">
      <w:pPr>
        <w:spacing w:after="0" w:line="240" w:lineRule="auto"/>
      </w:pPr>
      <w:r>
        <w:separator/>
      </w:r>
    </w:p>
  </w:endnote>
  <w:endnote w:type="continuationSeparator" w:id="0">
    <w:p w14:paraId="19B0671D" w14:textId="77777777" w:rsidR="00333875" w:rsidRDefault="00333875" w:rsidP="006B5EED">
      <w:pPr>
        <w:spacing w:after="0" w:line="240" w:lineRule="auto"/>
      </w:pPr>
      <w:r>
        <w:continuationSeparator/>
      </w:r>
    </w:p>
  </w:endnote>
  <w:endnote w:type="continuationNotice" w:id="1">
    <w:p w14:paraId="3ADCE561" w14:textId="77777777" w:rsidR="00333875" w:rsidRDefault="0033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2ABBEC00" w:rsidR="00CD5D69" w:rsidRPr="00C92E1F" w:rsidRDefault="00CD5D6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6335FB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A2F3" w14:textId="77777777" w:rsidR="00333875" w:rsidRDefault="00333875" w:rsidP="006B5EED">
      <w:pPr>
        <w:spacing w:after="0" w:line="240" w:lineRule="auto"/>
      </w:pPr>
      <w:r>
        <w:separator/>
      </w:r>
    </w:p>
  </w:footnote>
  <w:footnote w:type="continuationSeparator" w:id="0">
    <w:p w14:paraId="11A50D05" w14:textId="77777777" w:rsidR="00333875" w:rsidRDefault="00333875" w:rsidP="006B5EED">
      <w:pPr>
        <w:spacing w:after="0" w:line="240" w:lineRule="auto"/>
      </w:pPr>
      <w:r>
        <w:continuationSeparator/>
      </w:r>
    </w:p>
  </w:footnote>
  <w:footnote w:type="continuationNotice" w:id="1">
    <w:p w14:paraId="57765CD2" w14:textId="77777777" w:rsidR="00333875" w:rsidRDefault="00333875">
      <w:pPr>
        <w:spacing w:after="0" w:line="240" w:lineRule="auto"/>
      </w:pPr>
    </w:p>
  </w:footnote>
  <w:footnote w:id="2">
    <w:p w14:paraId="2F358710" w14:textId="3CE1E4AA"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14:paraId="37E63B5B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14:paraId="34EC2889" w14:textId="18834733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14:paraId="25F94EC0" w14:textId="086C1525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неудержанного налога на доходы физических лиц».</w:t>
      </w:r>
    </w:p>
  </w:footnote>
  <w:footnote w:id="6">
    <w:p w14:paraId="62DBE902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14:paraId="0669A9AF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CD5D69" w:rsidRDefault="00CD5D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5FB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070D"/>
    <w:rsid w:val="00B73A9B"/>
    <w:rsid w:val="00B73D92"/>
    <w:rsid w:val="00B805C4"/>
    <w:rsid w:val="00B8123E"/>
    <w:rsid w:val="00B8437B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4159-AE05-42CA-9D4F-7AC595593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3B3D6-1A42-485E-90C8-62CFF2E712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F0B3DE-A010-4164-BA0B-9E27F977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5427</Words>
  <Characters>30936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Наумкин Владимир Александрович</cp:lastModifiedBy>
  <cp:revision>8</cp:revision>
  <cp:lastPrinted>2019-12-11T18:26:00Z</cp:lastPrinted>
  <dcterms:created xsi:type="dcterms:W3CDTF">2019-12-27T07:31:00Z</dcterms:created>
  <dcterms:modified xsi:type="dcterms:W3CDTF">2020-02-03T09:46:00Z</dcterms:modified>
</cp:coreProperties>
</file>