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74" w:rsidRDefault="005D6074" w:rsidP="005D6074">
      <w:pPr>
        <w:pStyle w:val="30"/>
        <w:shd w:val="clear" w:color="auto" w:fill="auto"/>
        <w:spacing w:after="0" w:line="240" w:lineRule="auto"/>
        <w:ind w:right="79" w:firstLine="851"/>
        <w:jc w:val="right"/>
        <w:rPr>
          <w:b w:val="0"/>
          <w:bCs w:val="0"/>
          <w:sz w:val="24"/>
          <w:szCs w:val="24"/>
        </w:rPr>
      </w:pPr>
      <w:r w:rsidRPr="005D2893">
        <w:rPr>
          <w:b w:val="0"/>
          <w:bCs w:val="0"/>
          <w:sz w:val="24"/>
          <w:szCs w:val="24"/>
        </w:rPr>
        <w:t xml:space="preserve">Учетная политика на 2024 год </w:t>
      </w:r>
    </w:p>
    <w:p w:rsidR="005D6074" w:rsidRPr="005D2893" w:rsidRDefault="005D6074" w:rsidP="005D6074">
      <w:pPr>
        <w:pStyle w:val="30"/>
        <w:shd w:val="clear" w:color="auto" w:fill="auto"/>
        <w:spacing w:after="0" w:line="240" w:lineRule="auto"/>
        <w:ind w:right="79" w:firstLine="851"/>
        <w:jc w:val="right"/>
        <w:rPr>
          <w:b w:val="0"/>
          <w:bCs w:val="0"/>
          <w:sz w:val="24"/>
          <w:szCs w:val="24"/>
        </w:rPr>
      </w:pPr>
      <w:r w:rsidRPr="005D2893">
        <w:rPr>
          <w:b w:val="0"/>
          <w:bCs w:val="0"/>
          <w:sz w:val="24"/>
          <w:szCs w:val="24"/>
        </w:rPr>
        <w:t>утверждена приказом от «2</w:t>
      </w:r>
      <w:r>
        <w:rPr>
          <w:b w:val="0"/>
          <w:bCs w:val="0"/>
          <w:sz w:val="24"/>
          <w:szCs w:val="24"/>
        </w:rPr>
        <w:t>9</w:t>
      </w:r>
      <w:r w:rsidRPr="005D2893">
        <w:rPr>
          <w:b w:val="0"/>
          <w:bCs w:val="0"/>
          <w:sz w:val="24"/>
          <w:szCs w:val="24"/>
        </w:rPr>
        <w:t xml:space="preserve">» декабря 2023 № </w:t>
      </w:r>
      <w:r>
        <w:rPr>
          <w:b w:val="0"/>
          <w:bCs w:val="0"/>
          <w:sz w:val="24"/>
          <w:szCs w:val="24"/>
        </w:rPr>
        <w:t>91</w:t>
      </w:r>
    </w:p>
    <w:p w:rsidR="005D6074" w:rsidRDefault="005D6074" w:rsidP="005D6074">
      <w:pPr>
        <w:pStyle w:val="30"/>
        <w:shd w:val="clear" w:color="auto" w:fill="auto"/>
        <w:spacing w:after="511"/>
        <w:ind w:right="77" w:firstLine="851"/>
        <w:jc w:val="center"/>
      </w:pPr>
    </w:p>
    <w:p w:rsidR="005D6074" w:rsidRDefault="005D6074" w:rsidP="005D6074">
      <w:pPr>
        <w:pStyle w:val="30"/>
        <w:shd w:val="clear" w:color="auto" w:fill="auto"/>
        <w:spacing w:after="0" w:line="240" w:lineRule="auto"/>
        <w:ind w:right="77" w:firstLine="851"/>
        <w:jc w:val="center"/>
      </w:pPr>
      <w:r>
        <w:t xml:space="preserve">Основные положения учетной политики </w:t>
      </w:r>
    </w:p>
    <w:p w:rsidR="005D6074" w:rsidRDefault="005D6074" w:rsidP="005D6074">
      <w:pPr>
        <w:pStyle w:val="30"/>
        <w:shd w:val="clear" w:color="auto" w:fill="auto"/>
        <w:spacing w:after="0" w:line="240" w:lineRule="auto"/>
        <w:ind w:right="77" w:firstLine="851"/>
        <w:jc w:val="center"/>
      </w:pPr>
      <w:r>
        <w:t xml:space="preserve">Управления </w:t>
      </w:r>
      <w:r>
        <w:t>имущественных и земельных отношений администрации</w:t>
      </w:r>
      <w:r>
        <w:t xml:space="preserve"> Усть-Абаканского района Республики Хакасия 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5D6074" w:rsidRDefault="005D6074" w:rsidP="005D6074">
      <w:pPr>
        <w:suppressAutoHyphens/>
        <w:autoSpaceDN w:val="0"/>
        <w:jc w:val="both"/>
        <w:textAlignment w:val="baseline"/>
        <w:rPr>
          <w:rFonts w:ascii="Times New Roman" w:eastAsia="Times New Roman" w:hAnsi="Times New Roman" w:cs="Times New Roman"/>
          <w:b/>
          <w:bCs/>
          <w:sz w:val="28"/>
          <w:szCs w:val="28"/>
        </w:rPr>
      </w:pPr>
    </w:p>
    <w:p w:rsid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632E7A">
        <w:rPr>
          <w:rFonts w:ascii="Times New Roman" w:eastAsia="Times New Roman" w:hAnsi="Times New Roman" w:cs="Times New Roman"/>
          <w:sz w:val="26"/>
          <w:szCs w:val="26"/>
        </w:rPr>
        <w:t xml:space="preserve">Учетная политика определяет принципы, методы, процедуры и правила ведения бухгалтерского учета в </w:t>
      </w:r>
      <w:r w:rsidRPr="00386644">
        <w:rPr>
          <w:rFonts w:ascii="Times New Roman" w:eastAsia="Times New Roman" w:hAnsi="Times New Roman" w:cs="Times New Roman"/>
          <w:sz w:val="26"/>
          <w:szCs w:val="26"/>
        </w:rPr>
        <w:t>Управлени</w:t>
      </w:r>
      <w:r>
        <w:rPr>
          <w:rFonts w:ascii="Times New Roman" w:eastAsia="Times New Roman" w:hAnsi="Times New Roman" w:cs="Times New Roman"/>
          <w:sz w:val="26"/>
          <w:szCs w:val="26"/>
        </w:rPr>
        <w:t>и имущественных и земельных отношений а</w:t>
      </w:r>
      <w:r w:rsidRPr="00386644">
        <w:rPr>
          <w:rFonts w:ascii="Times New Roman" w:eastAsia="Times New Roman" w:hAnsi="Times New Roman" w:cs="Times New Roman"/>
          <w:sz w:val="26"/>
          <w:szCs w:val="26"/>
        </w:rPr>
        <w:t>дминистрации Усть-Абаканского района Республики Хакасия</w:t>
      </w:r>
      <w:r w:rsidRPr="00632E7A">
        <w:rPr>
          <w:rFonts w:ascii="Times New Roman" w:eastAsia="Times New Roman" w:hAnsi="Times New Roman" w:cs="Times New Roman"/>
          <w:sz w:val="26"/>
          <w:szCs w:val="26"/>
        </w:rPr>
        <w:t xml:space="preserve"> </w:t>
      </w:r>
      <w:r w:rsidRPr="00386644">
        <w:rPr>
          <w:rFonts w:ascii="Times New Roman" w:eastAsia="Times New Roman" w:hAnsi="Times New Roman" w:cs="Times New Roman"/>
          <w:sz w:val="26"/>
          <w:szCs w:val="26"/>
        </w:rPr>
        <w:t>(далее – учреждение)</w:t>
      </w:r>
      <w:r>
        <w:rPr>
          <w:rFonts w:ascii="Times New Roman" w:eastAsia="Times New Roman" w:hAnsi="Times New Roman" w:cs="Times New Roman"/>
          <w:sz w:val="26"/>
          <w:szCs w:val="26"/>
        </w:rPr>
        <w:t>.</w:t>
      </w:r>
    </w:p>
    <w:p w:rsid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386644">
        <w:rPr>
          <w:rFonts w:ascii="Times New Roman" w:eastAsia="Times New Roman" w:hAnsi="Times New Roman" w:cs="Times New Roman"/>
          <w:sz w:val="26"/>
          <w:szCs w:val="26"/>
        </w:rPr>
        <w:t>Учетная политика разработана в соответствии с:</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 Бюджетный кодекс РФ (далее - БК РФ);</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2. Федеральный закон от 06.12.2011 № 402-ФЗ "О бухгалтерском учете" (далее - Закон № 402-ФЗ);</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3.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4. Федеральный стандарт бухгалтерского учета для организаций государственного сектора "Основные средства", утвержденный Приказом Минфина России от 31.12.2016 № 257н (далее - СГС "Основные средства");</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5. Федеральный стандарт бухгалтерского учета для организаций государственного сектора "Аренда", утвержденный Приказом Минфина России от 31.12.2016 № 258н (далее - СГС "Аренда");</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6.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СГС "Представление отчетности");</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7.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8.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9.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 (далее - СГС "События после отчетной даты");</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10.Федеральный стандарт бухгалтерского учета для организаций государственного сектора "Доходы", утвержденный Приказом Минфина России от 27.02.2018 № 32н (далее - СГС "Доходы");</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lastRenderedPageBreak/>
        <w:t>11.Федеральный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12.Федеральный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СГС "Бюджетная информация в бухгалтерской (финансовой) отчетности");</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13.Федеральный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СГС "Резервы");</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14.Федеральный стандарт бухгалтерского учета для организаций государственного сектора "Концессионные соглашения", утвержденный Приказом Минфина России от 29.06.2018 № 146н (далее - СГС "Концессионные соглашения");</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15.Федеральный стандарт бухгалтерского учета для организаций государственного сектора "Запасы", утвержденный Приказом Минфина России от 07.12.2018 № 256н (далее - СГС "Запасы");</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16.Федеральный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16. 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план счетов);</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17.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Инструкция № 157н);</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18. План счетов бюджетного учета, утвержденный Приказом Минфина России от 06.12.2010 № 162н (далее - План счетов бюджетного учета);</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19. Инструкция по применению Плана счетов бюджетного учета, утвержденная Приказом Минфина России от 06.12.2010 № 162н (далее - Инструкция № 162н);</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20.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 включая Приложение №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 52н);</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lastRenderedPageBreak/>
        <w:t>21. Методические указания по инвентаризации имущества и финансовых обязательств, утвержденные Приказом Минфина России от 13.06.1995 № 49 (далее - Методические указания № 49);</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22.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рекомендации № АМ-23-р);</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23.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Инструкция № 191н);</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24.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Порядок № 85н);</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r w:rsidRPr="005D6074">
        <w:rPr>
          <w:rFonts w:ascii="Times New Roman" w:eastAsia="Times New Roman" w:hAnsi="Times New Roman" w:cs="Times New Roman"/>
          <w:sz w:val="26"/>
          <w:szCs w:val="26"/>
        </w:rPr>
        <w:t>25. Порядок применения классификации операций сектора государственного управления, утвержденный Приказом Минфина России от 29.11.2017 № 209н (далее - Порядок применения КОСГУ, Порядок № 209н).</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Ведение учета возложено на главного бухгалтера.</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Форма ведения учета – автоматизированная с применением компьютерной программы 1С.</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Для отражения объектов учета и изменяющих их фактов хозяйственной жизни используются формы первичных учетных документов:</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 утвержденные Приказом Минфина России № 52н;</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 утвержденные правовыми актами уполномоченных органов исполнительной власти (при их отсутствии в Приказе Минфина России № 52н);</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 самостоятельно разработанные.</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 по унифицированным формам, утвержденным Приказом Минфина России № 52н;</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 по формам, разработанным самостоятельно.</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p>
    <w:p w:rsid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Формирование регистров бухгалтерского учета на бумажном носителе осуществляется на каждую отчетную дату.</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w:t>
      </w:r>
      <w:r>
        <w:rPr>
          <w:rFonts w:ascii="Times New Roman" w:eastAsia="Times New Roman" w:hAnsi="Times New Roman" w:cs="Times New Roman"/>
          <w:sz w:val="26"/>
          <w:szCs w:val="26"/>
        </w:rPr>
        <w:t>.</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Достоверность данных учета и отчетности подтверждается путем инвентаризаций активов и обязательств.</w:t>
      </w:r>
    </w:p>
    <w:p w:rsidR="001A2C12" w:rsidRPr="001A2C12"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Для ведения бюджетного учета применяется автоматизированная форма обработки учетной информации с использованием программного обеспечения «1С Предприятие</w:t>
      </w:r>
      <w:r>
        <w:rPr>
          <w:rFonts w:ascii="Times New Roman" w:eastAsia="Times New Roman" w:hAnsi="Times New Roman" w:cs="Times New Roman"/>
          <w:sz w:val="26"/>
          <w:szCs w:val="26"/>
        </w:rPr>
        <w:t>».</w:t>
      </w:r>
      <w:r w:rsidRPr="001A2C12">
        <w:rPr>
          <w:rFonts w:ascii="Times New Roman" w:eastAsia="Times New Roman" w:hAnsi="Times New Roman" w:cs="Times New Roman"/>
          <w:sz w:val="26"/>
          <w:szCs w:val="26"/>
        </w:rPr>
        <w:t xml:space="preserve"> Также применяются офисные программы общего назначения, входящие в состав программного пакета «MS Office», программный комплекс для передачи налоговых </w:t>
      </w:r>
      <w:r w:rsidRPr="001A2C12">
        <w:rPr>
          <w:rFonts w:ascii="Times New Roman" w:eastAsia="Times New Roman" w:hAnsi="Times New Roman" w:cs="Times New Roman"/>
          <w:sz w:val="26"/>
          <w:szCs w:val="26"/>
        </w:rPr>
        <w:lastRenderedPageBreak/>
        <w:t>деклараций в электронном виде в налоговые органы, расчетов и данных персонифицированного учета</w:t>
      </w:r>
      <w:bookmarkStart w:id="0" w:name="_GoBack"/>
      <w:bookmarkEnd w:id="0"/>
      <w:r w:rsidRPr="001A2C12">
        <w:rPr>
          <w:rFonts w:ascii="Times New Roman" w:eastAsia="Times New Roman" w:hAnsi="Times New Roman" w:cs="Times New Roman"/>
          <w:sz w:val="26"/>
          <w:szCs w:val="26"/>
        </w:rPr>
        <w:t xml:space="preserve"> и др.</w:t>
      </w:r>
    </w:p>
    <w:p w:rsidR="005D6074" w:rsidRPr="00386644" w:rsidRDefault="001A2C12" w:rsidP="001A2C12">
      <w:pPr>
        <w:suppressAutoHyphens/>
        <w:autoSpaceDN w:val="0"/>
        <w:spacing w:after="0"/>
        <w:ind w:firstLine="708"/>
        <w:jc w:val="both"/>
        <w:textAlignment w:val="baseline"/>
        <w:rPr>
          <w:rFonts w:ascii="Times New Roman" w:eastAsia="Times New Roman" w:hAnsi="Times New Roman" w:cs="Times New Roman"/>
          <w:sz w:val="26"/>
          <w:szCs w:val="26"/>
        </w:rPr>
      </w:pPr>
      <w:r w:rsidRPr="001A2C12">
        <w:rPr>
          <w:rFonts w:ascii="Times New Roman" w:eastAsia="Times New Roman" w:hAnsi="Times New Roman" w:cs="Times New Roman"/>
          <w:sz w:val="26"/>
          <w:szCs w:val="26"/>
        </w:rPr>
        <w:t>Отражение операций при ведении бюджетного учета осуществляется в соответствии с рабочим планом счетов бюджетного учета</w:t>
      </w:r>
      <w:r>
        <w:rPr>
          <w:rFonts w:ascii="Times New Roman" w:eastAsia="Times New Roman" w:hAnsi="Times New Roman" w:cs="Times New Roman"/>
          <w:sz w:val="26"/>
          <w:szCs w:val="26"/>
        </w:rPr>
        <w:t>.</w:t>
      </w:r>
    </w:p>
    <w:p w:rsidR="005D6074" w:rsidRPr="005D6074" w:rsidRDefault="005D6074" w:rsidP="005D6074">
      <w:pPr>
        <w:suppressAutoHyphens/>
        <w:autoSpaceDN w:val="0"/>
        <w:spacing w:after="0"/>
        <w:ind w:firstLine="708"/>
        <w:jc w:val="both"/>
        <w:textAlignment w:val="baseline"/>
        <w:rPr>
          <w:rFonts w:ascii="Times New Roman" w:eastAsia="Times New Roman" w:hAnsi="Times New Roman" w:cs="Times New Roman"/>
          <w:sz w:val="26"/>
          <w:szCs w:val="26"/>
        </w:rPr>
      </w:pPr>
    </w:p>
    <w:p w:rsidR="00411FC5" w:rsidRPr="005D6074" w:rsidRDefault="00411FC5" w:rsidP="005D6074">
      <w:pPr>
        <w:suppressAutoHyphens/>
        <w:autoSpaceDN w:val="0"/>
        <w:spacing w:after="0"/>
        <w:ind w:firstLine="708"/>
        <w:jc w:val="both"/>
        <w:textAlignment w:val="baseline"/>
        <w:rPr>
          <w:rFonts w:ascii="Times New Roman" w:eastAsia="Times New Roman" w:hAnsi="Times New Roman" w:cs="Times New Roman"/>
          <w:sz w:val="26"/>
          <w:szCs w:val="26"/>
        </w:rPr>
      </w:pPr>
    </w:p>
    <w:sectPr w:rsidR="00411FC5" w:rsidRPr="005D6074" w:rsidSect="005D6074">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81"/>
    <w:rsid w:val="00081681"/>
    <w:rsid w:val="001A2C12"/>
    <w:rsid w:val="00411FC5"/>
    <w:rsid w:val="005D6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BFF"/>
  <w15:chartTrackingRefBased/>
  <w15:docId w15:val="{24C11617-4806-4B03-A089-6B62A819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D607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5D6074"/>
    <w:pPr>
      <w:widowControl w:val="0"/>
      <w:shd w:val="clear" w:color="auto" w:fill="FFFFFF"/>
      <w:spacing w:after="640" w:line="320" w:lineRule="exact"/>
      <w:ind w:firstLine="86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Point-21</dc:creator>
  <cp:keywords/>
  <dc:description/>
  <cp:lastModifiedBy>Point-21</cp:lastModifiedBy>
  <cp:revision>2</cp:revision>
  <dcterms:created xsi:type="dcterms:W3CDTF">2024-07-26T04:08:00Z</dcterms:created>
  <dcterms:modified xsi:type="dcterms:W3CDTF">2024-07-26T04:29:00Z</dcterms:modified>
</cp:coreProperties>
</file>