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media/image10.wmf" ContentType="image/x-wmf"/>
  <Override PartName="/word/media/image11.png" ContentType="image/png"/>
  <Override PartName="/word/media/image12.jpeg" ContentType="image/jpeg"/>
  <Override PartName="/word/media/image1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95" w:type="dxa"/>
        <w:jc w:val="left"/>
        <w:tblInd w:w="55" w:type="dxa"/>
        <w:tblLayout w:type="fixed"/>
        <w:tblCellMar>
          <w:top w:w="55" w:type="dxa"/>
          <w:left w:w="55" w:type="dxa"/>
          <w:bottom w:w="55" w:type="dxa"/>
          <w:right w:w="55" w:type="dxa"/>
        </w:tblCellMar>
        <w:tblLook w:val="04a0"/>
      </w:tblPr>
      <w:tblGrid>
        <w:gridCol w:w="4819"/>
        <w:gridCol w:w="5275"/>
      </w:tblGrid>
      <w:tr>
        <w:trPr/>
        <w:tc>
          <w:tcPr>
            <w:tcW w:w="4819" w:type="dxa"/>
            <w:tcBorders/>
            <w:shd w:color="auto" w:fill="auto" w:val="clear"/>
          </w:tcPr>
          <w:p>
            <w:pPr>
              <w:pStyle w:val="Style23"/>
              <w:widowControl w:val="false"/>
              <w:snapToGrid w:val="false"/>
              <w:rPr>
                <w:sz w:val="26"/>
                <w:szCs w:val="26"/>
              </w:rPr>
            </w:pPr>
            <w:r>
              <w:rPr>
                <w:sz w:val="26"/>
                <w:szCs w:val="26"/>
              </w:rPr>
            </w:r>
          </w:p>
        </w:tc>
        <w:tc>
          <w:tcPr>
            <w:tcW w:w="5275" w:type="dxa"/>
            <w:tcBorders/>
            <w:shd w:color="auto" w:fill="auto" w:val="clear"/>
          </w:tcPr>
          <w:p>
            <w:pPr>
              <w:pStyle w:val="Style23"/>
              <w:widowControl w:val="false"/>
              <w:ind w:hanging="0"/>
              <w:rPr>
                <w:sz w:val="26"/>
                <w:szCs w:val="26"/>
              </w:rPr>
            </w:pPr>
            <w:r>
              <w:rPr>
                <w:sz w:val="26"/>
                <w:szCs w:val="26"/>
              </w:rPr>
              <w:t>Приложение  2</w:t>
            </w:r>
          </w:p>
          <w:p>
            <w:pPr>
              <w:pStyle w:val="Style23"/>
              <w:widowControl w:val="false"/>
              <w:ind w:hanging="0"/>
              <w:rPr>
                <w:sz w:val="26"/>
                <w:szCs w:val="26"/>
              </w:rPr>
            </w:pPr>
            <w:r>
              <w:rPr>
                <w:sz w:val="26"/>
                <w:szCs w:val="26"/>
              </w:rPr>
              <w:t>к постановлению Администрации Усть-Абаканского муниципального района Республики Хакасия</w:t>
            </w:r>
          </w:p>
          <w:p>
            <w:pPr>
              <w:pStyle w:val="Style23"/>
              <w:widowControl w:val="false"/>
              <w:ind w:hanging="0"/>
              <w:rPr>
                <w:sz w:val="26"/>
                <w:szCs w:val="26"/>
              </w:rPr>
            </w:pPr>
            <w:r>
              <w:rPr>
                <w:sz w:val="26"/>
                <w:szCs w:val="26"/>
              </w:rPr>
              <w:t>от_____________ № _________</w:t>
            </w:r>
          </w:p>
        </w:tc>
      </w:tr>
    </w:tbl>
    <w:p>
      <w:pPr>
        <w:pStyle w:val="Normal"/>
        <w:ind w:hanging="0"/>
        <w:jc w:val="both"/>
        <w:rPr>
          <w:rFonts w:eastAsia="Times New Roman"/>
          <w:b/>
          <w:b/>
          <w:sz w:val="26"/>
          <w:szCs w:val="26"/>
          <w:lang w:eastAsia="ru-RU"/>
        </w:rPr>
      </w:pPr>
      <w:r>
        <w:rPr>
          <w:rFonts w:eastAsia="Times New Roman"/>
          <w:b/>
          <w:sz w:val="26"/>
          <w:szCs w:val="26"/>
          <w:lang w:eastAsia="ru-RU"/>
        </w:rPr>
        <w:t>ПРОЕКТ</w:t>
      </w:r>
    </w:p>
    <w:p>
      <w:pPr>
        <w:pStyle w:val="Normal"/>
        <w:ind w:hanging="0"/>
        <w:jc w:val="center"/>
        <w:rPr>
          <w:sz w:val="26"/>
          <w:szCs w:val="26"/>
        </w:rPr>
      </w:pPr>
      <w:r>
        <w:rPr>
          <w:rFonts w:eastAsia="Times New Roman"/>
          <w:b/>
          <w:sz w:val="26"/>
          <w:szCs w:val="26"/>
          <w:lang w:eastAsia="ru-RU"/>
        </w:rPr>
        <w:t>СХЕМА ТЕПЛОСНАБЖЕНИЯ</w:t>
      </w:r>
    </w:p>
    <w:p>
      <w:pPr>
        <w:pStyle w:val="Normal"/>
        <w:ind w:hanging="0"/>
        <w:jc w:val="center"/>
        <w:rPr>
          <w:sz w:val="26"/>
          <w:szCs w:val="26"/>
        </w:rPr>
      </w:pPr>
      <w:r>
        <w:rPr>
          <w:rFonts w:eastAsia="Times New Roman"/>
          <w:b/>
          <w:sz w:val="26"/>
          <w:szCs w:val="26"/>
          <w:lang w:eastAsia="ru-RU"/>
        </w:rPr>
        <w:t xml:space="preserve">Доможаковского сельсовета </w:t>
      </w:r>
    </w:p>
    <w:p>
      <w:pPr>
        <w:pStyle w:val="Normal"/>
        <w:ind w:hanging="0"/>
        <w:jc w:val="center"/>
        <w:rPr>
          <w:sz w:val="26"/>
          <w:szCs w:val="26"/>
        </w:rPr>
      </w:pPr>
      <w:r>
        <w:rPr>
          <w:rFonts w:eastAsia="Times New Roman"/>
          <w:b/>
          <w:sz w:val="26"/>
          <w:szCs w:val="26"/>
          <w:lang w:eastAsia="ru-RU"/>
        </w:rPr>
        <w:t xml:space="preserve">Усть-Абаканского района </w:t>
      </w:r>
    </w:p>
    <w:p>
      <w:pPr>
        <w:pStyle w:val="Normal"/>
        <w:ind w:hanging="0"/>
        <w:jc w:val="center"/>
        <w:rPr>
          <w:sz w:val="26"/>
          <w:szCs w:val="26"/>
        </w:rPr>
      </w:pPr>
      <w:r>
        <w:rPr>
          <w:rFonts w:eastAsia="Times New Roman"/>
          <w:b/>
          <w:sz w:val="26"/>
          <w:szCs w:val="26"/>
          <w:lang w:eastAsia="ru-RU"/>
        </w:rPr>
        <w:t>Республики Хакасия</w:t>
      </w:r>
    </w:p>
    <w:p>
      <w:pPr>
        <w:pStyle w:val="Normal"/>
        <w:ind w:hanging="0"/>
        <w:jc w:val="center"/>
        <w:rPr>
          <w:sz w:val="26"/>
          <w:szCs w:val="26"/>
        </w:rPr>
      </w:pPr>
      <w:r>
        <w:rPr>
          <w:rFonts w:eastAsia="Times New Roman"/>
          <w:b/>
          <w:sz w:val="26"/>
          <w:szCs w:val="26"/>
          <w:lang w:eastAsia="ru-RU"/>
        </w:rPr>
        <w:t>на 2027 год</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b/>
          <w:sz w:val="26"/>
          <w:szCs w:val="26"/>
          <w:lang w:eastAsia="ru-RU"/>
        </w:rPr>
        <w:tab/>
        <w:t>Раздел 1.Показатели перспективного спроса на тепловую энергию (мощность) и теплоноситель в установленных границах территории Доможаковского сельсовета.</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sz w:val="26"/>
          <w:szCs w:val="26"/>
          <w:lang w:eastAsia="ru-RU"/>
        </w:rPr>
        <w:tab/>
        <w:t>1.1.Существующее состояние.</w:t>
      </w:r>
    </w:p>
    <w:p>
      <w:pPr>
        <w:pStyle w:val="Normal"/>
        <w:ind w:firstLine="850"/>
        <w:jc w:val="both"/>
        <w:rPr>
          <w:sz w:val="26"/>
          <w:szCs w:val="26"/>
        </w:rPr>
      </w:pPr>
      <w:r>
        <w:rPr>
          <w:sz w:val="26"/>
          <w:szCs w:val="26"/>
        </w:rPr>
        <w:t xml:space="preserve">Теплоснабжение объектов Доможаковского сельсовета осуществляется как от центральной котельной, так и от автономных источников теплоснабжения. Котельная обеспечивает теплом объекты социально-культурного назначения (таблица 4), население использует индивидуальные источники тепла. </w:t>
      </w:r>
    </w:p>
    <w:p>
      <w:pPr>
        <w:pStyle w:val="Normal"/>
        <w:ind w:firstLine="850"/>
        <w:jc w:val="both"/>
        <w:rPr>
          <w:sz w:val="26"/>
          <w:szCs w:val="26"/>
        </w:rPr>
      </w:pPr>
      <w:r>
        <w:rPr>
          <w:sz w:val="26"/>
          <w:szCs w:val="26"/>
        </w:rPr>
        <w:t>Оборудование котельной – 3 котла. Основным видом топлива является уголь. Система теплоснабжения открытая.</w:t>
      </w:r>
    </w:p>
    <w:p>
      <w:pPr>
        <w:pStyle w:val="Normal"/>
        <w:ind w:firstLine="850"/>
        <w:jc w:val="both"/>
        <w:rPr>
          <w:sz w:val="26"/>
          <w:szCs w:val="26"/>
        </w:rPr>
      </w:pPr>
      <w:r>
        <w:rPr>
          <w:sz w:val="26"/>
          <w:szCs w:val="26"/>
        </w:rPr>
        <w:t>Характеристика источника теплоснабжения представлена в таблице 3.</w:t>
      </w:r>
    </w:p>
    <w:p>
      <w:pPr>
        <w:pStyle w:val="Normal"/>
        <w:ind w:firstLine="850"/>
        <w:jc w:val="both"/>
        <w:rPr>
          <w:sz w:val="26"/>
          <w:szCs w:val="26"/>
        </w:rPr>
      </w:pPr>
      <w:r>
        <w:rPr>
          <w:sz w:val="26"/>
          <w:szCs w:val="26"/>
        </w:rPr>
        <w:t xml:space="preserve">Схема магистральных тепловых сетей – двухтрубная. Общая длина трубопроводов сети отопления в двухтрубном исполнении равна </w:t>
      </w:r>
      <w:r>
        <w:rPr>
          <w:b/>
          <w:bCs/>
          <w:sz w:val="26"/>
          <w:szCs w:val="26"/>
        </w:rPr>
        <w:t>1,326</w:t>
      </w:r>
      <w:r>
        <w:rPr>
          <w:b/>
          <w:bCs/>
          <w:sz w:val="26"/>
          <w:szCs w:val="26"/>
        </w:rPr>
        <w:t xml:space="preserve"> </w:t>
      </w:r>
      <w:r>
        <w:rPr>
          <w:b/>
          <w:bCs/>
          <w:sz w:val="26"/>
          <w:szCs w:val="26"/>
        </w:rPr>
        <w:t>км</w:t>
      </w:r>
      <w:r>
        <w:rPr>
          <w:b/>
          <w:bCs/>
          <w:sz w:val="26"/>
          <w:szCs w:val="26"/>
        </w:rPr>
        <w:t xml:space="preserve"> </w:t>
      </w:r>
      <w:r>
        <w:rPr>
          <w:sz w:val="26"/>
          <w:szCs w:val="26"/>
        </w:rPr>
        <w:t>Прокладка трубопроводов тепловых сетей – подземная в непроходных каналах.</w:t>
      </w:r>
    </w:p>
    <w:p>
      <w:pPr>
        <w:pStyle w:val="Normal"/>
        <w:ind w:firstLine="850"/>
        <w:jc w:val="both"/>
        <w:rPr>
          <w:sz w:val="26"/>
          <w:szCs w:val="26"/>
        </w:rPr>
      </w:pPr>
      <w:r>
        <w:rPr>
          <w:sz w:val="26"/>
          <w:szCs w:val="26"/>
        </w:rPr>
      </w:r>
    </w:p>
    <w:p>
      <w:pPr>
        <w:pStyle w:val="Normal"/>
        <w:ind w:firstLine="708"/>
        <w:jc w:val="center"/>
        <w:rPr/>
      </w:pPr>
      <w:r>
        <w:rPr>
          <w:sz w:val="26"/>
          <w:szCs w:val="26"/>
        </w:rPr>
        <w:t>Материальная характеристика тепловой сети по состоянию на 01.01.2026 г.</w:t>
      </w:r>
    </w:p>
    <w:p>
      <w:pPr>
        <w:pStyle w:val="Normal"/>
        <w:ind w:firstLine="708"/>
        <w:jc w:val="right"/>
        <w:rPr/>
      </w:pPr>
      <w:r>
        <w:rPr>
          <w:sz w:val="26"/>
          <w:szCs w:val="26"/>
        </w:rPr>
        <w:t>Таблица 1</w:t>
      </w:r>
    </w:p>
    <w:tbl>
      <w:tblPr>
        <w:tblW w:w="10871" w:type="dxa"/>
        <w:jc w:val="left"/>
        <w:tblInd w:w="0" w:type="dxa"/>
        <w:tblLayout w:type="fixed"/>
        <w:tblCellMar>
          <w:top w:w="0" w:type="dxa"/>
          <w:left w:w="98" w:type="dxa"/>
          <w:bottom w:w="0" w:type="dxa"/>
          <w:right w:w="108" w:type="dxa"/>
        </w:tblCellMar>
        <w:tblLook w:val="04a0"/>
      </w:tblPr>
      <w:tblGrid>
        <w:gridCol w:w="530"/>
        <w:gridCol w:w="1844"/>
        <w:gridCol w:w="1148"/>
        <w:gridCol w:w="1468"/>
        <w:gridCol w:w="1486"/>
        <w:gridCol w:w="1135"/>
        <w:gridCol w:w="1704"/>
        <w:gridCol w:w="1554"/>
      </w:tblGrid>
      <w:tr>
        <w:trPr>
          <w:trHeight w:val="1995"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tcPr>
          <w:p>
            <w:pPr>
              <w:pStyle w:val="Normal"/>
              <w:widowControl w:val="false"/>
              <w:ind w:hanging="0"/>
              <w:jc w:val="center"/>
              <w:rPr>
                <w:sz w:val="24"/>
                <w:szCs w:val="24"/>
              </w:rPr>
            </w:pPr>
            <w:r>
              <w:rPr>
                <w:rFonts w:eastAsia="Times New Roman"/>
                <w:color w:val="000000"/>
                <w:sz w:val="24"/>
                <w:szCs w:val="24"/>
                <w:lang w:eastAsia="ru-RU"/>
              </w:rPr>
              <w:t xml:space="preserve">№ </w:t>
            </w:r>
            <w:r>
              <w:rPr>
                <w:rFonts w:eastAsia="Times New Roman"/>
                <w:color w:val="000000"/>
                <w:sz w:val="24"/>
                <w:szCs w:val="24"/>
                <w:lang w:eastAsia="ru-RU"/>
              </w:rPr>
              <w:t>п/п</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tcPr>
          <w:p>
            <w:pPr>
              <w:pStyle w:val="Normal"/>
              <w:widowControl w:val="false"/>
              <w:ind w:hanging="0"/>
              <w:jc w:val="center"/>
              <w:rPr>
                <w:sz w:val="26"/>
                <w:szCs w:val="26"/>
              </w:rPr>
            </w:pPr>
            <w:r>
              <w:rPr>
                <w:rFonts w:eastAsia="Times New Roman"/>
                <w:color w:val="000000"/>
                <w:sz w:val="24"/>
                <w:szCs w:val="24"/>
                <w:lang w:eastAsia="ru-RU"/>
              </w:rPr>
              <w:t>Наимено</w:t>
            </w:r>
            <w:bookmarkStart w:id="0" w:name="_GoBack"/>
            <w:bookmarkEnd w:id="0"/>
            <w:r>
              <w:rPr>
                <w:rFonts w:eastAsia="Times New Roman"/>
                <w:color w:val="000000"/>
                <w:sz w:val="24"/>
                <w:szCs w:val="24"/>
                <w:lang w:eastAsia="ru-RU"/>
              </w:rPr>
              <w:t>вание участка</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tcPr>
          <w:p>
            <w:pPr>
              <w:pStyle w:val="Normal"/>
              <w:widowControl w:val="false"/>
              <w:ind w:hanging="0"/>
              <w:jc w:val="center"/>
              <w:rPr>
                <w:sz w:val="26"/>
                <w:szCs w:val="26"/>
              </w:rPr>
            </w:pPr>
            <w:r>
              <w:rPr>
                <w:rFonts w:eastAsia="Times New Roman"/>
                <w:color w:val="000000"/>
                <w:sz w:val="24"/>
                <w:szCs w:val="24"/>
                <w:lang w:eastAsia="ru-RU"/>
              </w:rPr>
              <w:t>Диаметр, мм</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tcPr>
          <w:p>
            <w:pPr>
              <w:pStyle w:val="Normal"/>
              <w:widowControl w:val="false"/>
              <w:ind w:hanging="0"/>
              <w:jc w:val="center"/>
              <w:rPr>
                <w:sz w:val="26"/>
                <w:szCs w:val="26"/>
              </w:rPr>
            </w:pPr>
            <w:r>
              <w:rPr>
                <w:rFonts w:eastAsia="Times New Roman"/>
                <w:color w:val="000000"/>
                <w:sz w:val="24"/>
                <w:szCs w:val="24"/>
                <w:lang w:eastAsia="ru-RU"/>
              </w:rPr>
              <w:t>Длина участка в 2-х трубном исчислении, м</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tcPr>
          <w:p>
            <w:pPr>
              <w:pStyle w:val="Normal"/>
              <w:widowControl w:val="false"/>
              <w:ind w:hanging="0"/>
              <w:rPr>
                <w:sz w:val="26"/>
                <w:szCs w:val="26"/>
              </w:rPr>
            </w:pPr>
            <w:r>
              <w:rPr>
                <w:rFonts w:eastAsia="Times New Roman"/>
                <w:color w:val="000000"/>
                <w:sz w:val="24"/>
                <w:szCs w:val="24"/>
                <w:lang w:eastAsia="ru-RU"/>
              </w:rPr>
              <w:t>Вид прокладки</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tcPr>
          <w:p>
            <w:pPr>
              <w:pStyle w:val="Normal"/>
              <w:widowControl w:val="false"/>
              <w:ind w:hanging="0"/>
              <w:jc w:val="center"/>
              <w:rPr>
                <w:sz w:val="26"/>
                <w:szCs w:val="26"/>
              </w:rPr>
            </w:pPr>
            <w:r>
              <w:rPr>
                <w:rFonts w:eastAsia="Times New Roman"/>
                <w:color w:val="000000"/>
                <w:sz w:val="24"/>
                <w:szCs w:val="24"/>
                <w:lang w:eastAsia="ru-RU"/>
              </w:rPr>
              <w:t>Год (строительства / последнего кап. ремонта)</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tcPr>
          <w:p>
            <w:pPr>
              <w:pStyle w:val="Normal"/>
              <w:widowControl w:val="false"/>
              <w:ind w:hanging="0"/>
              <w:jc w:val="center"/>
              <w:rPr>
                <w:sz w:val="26"/>
                <w:szCs w:val="26"/>
              </w:rPr>
            </w:pPr>
            <w:r>
              <w:rPr>
                <w:rFonts w:eastAsia="Times New Roman"/>
                <w:color w:val="000000"/>
                <w:sz w:val="24"/>
                <w:szCs w:val="24"/>
                <w:lang w:eastAsia="ru-RU"/>
              </w:rPr>
              <w:t>Средняя глубина заложения до оси трубопроводов на участке, Н м</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tcPr>
          <w:p>
            <w:pPr>
              <w:pStyle w:val="Normal"/>
              <w:widowControl w:val="false"/>
              <w:ind w:hanging="0"/>
              <w:rPr>
                <w:sz w:val="26"/>
                <w:szCs w:val="26"/>
              </w:rPr>
            </w:pPr>
            <w:r>
              <w:rPr>
                <w:rFonts w:eastAsia="Times New Roman"/>
                <w:color w:val="000000"/>
                <w:sz w:val="24"/>
                <w:szCs w:val="24"/>
                <w:lang w:eastAsia="ru-RU"/>
              </w:rPr>
              <w:t>Конструкция тепловой изоляции</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rPr>
                <w:sz w:val="26"/>
                <w:szCs w:val="26"/>
              </w:rPr>
            </w:pPr>
            <w:r>
              <w:rPr>
                <w:rFonts w:eastAsia="Times New Roman"/>
                <w:color w:val="000000"/>
                <w:sz w:val="24"/>
                <w:szCs w:val="24"/>
                <w:lang w:eastAsia="ru-RU"/>
              </w:rPr>
              <w:t>1</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rFonts w:eastAsia="Times New Roman"/>
                <w:color w:val="000000"/>
                <w:sz w:val="24"/>
                <w:szCs w:val="24"/>
                <w:lang w:eastAsia="ru-RU"/>
              </w:rPr>
              <w:t>Котельная-ТК13</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pPr>
            <w:r>
              <w:rPr>
                <w:rFonts w:eastAsia="Times New Roman"/>
                <w:color w:val="000000"/>
                <w:sz w:val="24"/>
                <w:szCs w:val="24"/>
                <w:lang w:eastAsia="ru-RU"/>
              </w:rPr>
              <w:t>150</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pPr>
            <w:r>
              <w:rPr>
                <w:rFonts w:eastAsia="Times New Roman"/>
                <w:color w:val="000000"/>
                <w:sz w:val="24"/>
                <w:szCs w:val="24"/>
                <w:lang w:eastAsia="ru-RU"/>
              </w:rPr>
              <w:t>10</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rPr>
                <w:sz w:val="24"/>
                <w:szCs w:val="24"/>
              </w:rPr>
            </w:pPr>
            <w:r>
              <w:rPr>
                <w:rFonts w:eastAsia="Times New Roman"/>
                <w:color w:val="000000"/>
                <w:sz w:val="24"/>
                <w:szCs w:val="24"/>
                <w:lang w:eastAsia="ru-RU"/>
              </w:rPr>
              <w:t>подземная в непрох.кан-х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pPr>
            <w:r>
              <w:rPr>
                <w:rFonts w:eastAsia="Times New Roman"/>
                <w:color w:val="000000"/>
                <w:sz w:val="24"/>
                <w:szCs w:val="24"/>
                <w:lang w:eastAsia="ru-RU"/>
              </w:rPr>
              <w:t>2020</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rPr>
                <w:sz w:val="26"/>
                <w:szCs w:val="26"/>
              </w:rPr>
            </w:pPr>
            <w:r>
              <w:rPr>
                <w:rFonts w:eastAsia="Times New Roman"/>
                <w:color w:val="000000"/>
                <w:sz w:val="24"/>
                <w:szCs w:val="24"/>
                <w:lang w:eastAsia="ru-RU"/>
              </w:rPr>
              <w:t>мин.вата, стеклоткань</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rPr>
                <w:sz w:val="26"/>
                <w:szCs w:val="26"/>
              </w:rPr>
            </w:pPr>
            <w:r>
              <w:rPr>
                <w:rFonts w:eastAsia="Times New Roman"/>
                <w:color w:val="000000"/>
                <w:sz w:val="24"/>
                <w:szCs w:val="24"/>
                <w:lang w:eastAsia="ru-RU"/>
              </w:rPr>
              <w:t>2</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rFonts w:eastAsia="Times New Roman"/>
                <w:color w:val="000000"/>
                <w:sz w:val="24"/>
                <w:szCs w:val="24"/>
                <w:lang w:eastAsia="ru-RU"/>
              </w:rPr>
              <w:t>ТК13-ТК11</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pPr>
            <w:r>
              <w:rPr>
                <w:rFonts w:eastAsia="Times New Roman"/>
                <w:color w:val="000000"/>
                <w:sz w:val="24"/>
                <w:szCs w:val="24"/>
                <w:lang w:eastAsia="ru-RU"/>
              </w:rPr>
              <w:t>100</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pPr>
            <w:r>
              <w:rPr>
                <w:rFonts w:eastAsia="Times New Roman"/>
                <w:color w:val="000000"/>
                <w:sz w:val="24"/>
                <w:szCs w:val="24"/>
                <w:lang w:eastAsia="ru-RU"/>
              </w:rPr>
              <w:t>50</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rPr>
                <w:sz w:val="24"/>
                <w:szCs w:val="24"/>
              </w:rPr>
            </w:pPr>
            <w:r>
              <w:rPr>
                <w:rFonts w:eastAsia="Times New Roman"/>
                <w:color w:val="000000"/>
                <w:sz w:val="24"/>
                <w:szCs w:val="24"/>
                <w:lang w:eastAsia="ru-RU"/>
              </w:rPr>
              <w:t>подземная в непрох.кан-</w:t>
            </w:r>
          </w:p>
          <w:p>
            <w:pPr>
              <w:pStyle w:val="Normal"/>
              <w:widowControl w:val="false"/>
              <w:ind w:hanging="0"/>
              <w:jc w:val="center"/>
              <w:rPr>
                <w:sz w:val="24"/>
                <w:szCs w:val="24"/>
              </w:rPr>
            </w:pPr>
            <w:r>
              <w:rPr>
                <w:rFonts w:eastAsia="Times New Roman"/>
                <w:color w:val="000000"/>
                <w:sz w:val="24"/>
                <w:szCs w:val="24"/>
                <w:lang w:eastAsia="ru-RU"/>
              </w:rPr>
              <w:t>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pPr>
            <w:r>
              <w:rPr>
                <w:rFonts w:eastAsia="Times New Roman"/>
                <w:color w:val="000000"/>
                <w:sz w:val="24"/>
                <w:szCs w:val="24"/>
                <w:lang w:eastAsia="ru-RU"/>
              </w:rPr>
              <w:t>2010</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rPr>
                <w:sz w:val="26"/>
                <w:szCs w:val="26"/>
              </w:rPr>
            </w:pPr>
            <w:r>
              <w:rPr>
                <w:rFonts w:eastAsia="Times New Roman"/>
                <w:color w:val="000000"/>
                <w:sz w:val="24"/>
                <w:szCs w:val="24"/>
                <w:lang w:eastAsia="ru-RU"/>
              </w:rPr>
              <w:t>мин.вата, стеклоткань</w:t>
            </w:r>
          </w:p>
        </w:tc>
      </w:tr>
      <w:tr>
        <w:trPr>
          <w:trHeight w:val="974"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rPr>
                <w:sz w:val="26"/>
                <w:szCs w:val="26"/>
              </w:rPr>
            </w:pPr>
            <w:r>
              <w:rPr>
                <w:rFonts w:eastAsia="Times New Roman"/>
                <w:color w:val="000000"/>
                <w:sz w:val="24"/>
                <w:szCs w:val="24"/>
                <w:lang w:eastAsia="ru-RU"/>
              </w:rPr>
              <w:t>3</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rFonts w:eastAsia="Times New Roman"/>
                <w:color w:val="000000"/>
                <w:sz w:val="24"/>
                <w:szCs w:val="24"/>
                <w:lang w:eastAsia="ru-RU"/>
              </w:rPr>
              <w:t>ТК14-Школа</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pPr>
            <w:r>
              <w:rPr>
                <w:rFonts w:eastAsia="Times New Roman"/>
                <w:color w:val="000000"/>
                <w:sz w:val="24"/>
                <w:szCs w:val="24"/>
                <w:lang w:eastAsia="ru-RU"/>
              </w:rPr>
              <w:t>100</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pPr>
            <w:r>
              <w:rPr>
                <w:rFonts w:eastAsia="Times New Roman"/>
                <w:color w:val="000000"/>
                <w:sz w:val="24"/>
                <w:szCs w:val="24"/>
                <w:lang w:eastAsia="ru-RU"/>
              </w:rPr>
              <w:t>40</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rPr>
                <w:sz w:val="24"/>
                <w:szCs w:val="24"/>
              </w:rPr>
            </w:pPr>
            <w:r>
              <w:rPr>
                <w:rFonts w:eastAsia="Times New Roman"/>
                <w:color w:val="000000"/>
                <w:sz w:val="24"/>
                <w:szCs w:val="24"/>
                <w:lang w:eastAsia="ru-RU"/>
              </w:rPr>
              <w:t>подземная в непрох.кан-х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pPr>
            <w:r>
              <w:rPr>
                <w:rFonts w:eastAsia="Times New Roman"/>
                <w:color w:val="000000"/>
                <w:sz w:val="24"/>
                <w:szCs w:val="24"/>
                <w:lang w:eastAsia="ru-RU"/>
              </w:rPr>
              <w:t>2010</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rPr>
                <w:sz w:val="26"/>
                <w:szCs w:val="26"/>
              </w:rPr>
            </w:pPr>
            <w:r>
              <w:rPr>
                <w:rFonts w:eastAsia="Times New Roman"/>
                <w:color w:val="000000"/>
                <w:sz w:val="24"/>
                <w:szCs w:val="24"/>
                <w:lang w:eastAsia="ru-RU"/>
              </w:rPr>
              <w:t>мин.вата, стеклоткань</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rPr>
                <w:sz w:val="26"/>
                <w:szCs w:val="26"/>
              </w:rPr>
            </w:pPr>
            <w:r>
              <w:rPr>
                <w:rFonts w:eastAsia="Times New Roman"/>
                <w:color w:val="000000"/>
                <w:sz w:val="24"/>
                <w:szCs w:val="24"/>
                <w:lang w:eastAsia="ru-RU"/>
              </w:rPr>
              <w:t>4</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rFonts w:eastAsia="Times New Roman"/>
                <w:color w:val="000000"/>
                <w:sz w:val="24"/>
                <w:szCs w:val="24"/>
                <w:lang w:eastAsia="ru-RU"/>
              </w:rPr>
              <w:t>ТК14-Администрация</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pPr>
            <w:r>
              <w:rPr>
                <w:rFonts w:eastAsia="Times New Roman"/>
                <w:color w:val="000000"/>
                <w:sz w:val="24"/>
                <w:szCs w:val="24"/>
                <w:lang w:eastAsia="ru-RU"/>
              </w:rPr>
              <w:t>80</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pPr>
            <w:r>
              <w:rPr>
                <w:rFonts w:eastAsia="Times New Roman"/>
                <w:color w:val="000000"/>
                <w:sz w:val="24"/>
                <w:szCs w:val="24"/>
                <w:lang w:eastAsia="ru-RU"/>
              </w:rPr>
              <w:t>40</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rPr>
                <w:sz w:val="24"/>
                <w:szCs w:val="24"/>
              </w:rPr>
            </w:pPr>
            <w:r>
              <w:rPr>
                <w:rFonts w:eastAsia="Times New Roman"/>
                <w:color w:val="000000"/>
                <w:sz w:val="24"/>
                <w:szCs w:val="24"/>
                <w:lang w:eastAsia="ru-RU"/>
              </w:rPr>
              <w:t>подземная в непрох.кан-х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pPr>
            <w:r>
              <w:rPr>
                <w:rFonts w:eastAsia="Times New Roman"/>
                <w:color w:val="000000"/>
                <w:sz w:val="24"/>
                <w:szCs w:val="24"/>
                <w:lang w:eastAsia="ru-RU"/>
              </w:rPr>
              <w:t>2010</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rPr>
                <w:sz w:val="26"/>
                <w:szCs w:val="26"/>
              </w:rPr>
            </w:pPr>
            <w:r>
              <w:rPr>
                <w:rFonts w:eastAsia="Times New Roman"/>
                <w:color w:val="000000"/>
                <w:sz w:val="24"/>
                <w:szCs w:val="24"/>
                <w:lang w:eastAsia="ru-RU"/>
              </w:rPr>
              <w:t>мин.вата, стеклоткань</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5</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rFonts w:eastAsia="Times New Roman"/>
                <w:color w:val="000000"/>
                <w:sz w:val="24"/>
                <w:szCs w:val="24"/>
                <w:lang w:eastAsia="ru-RU"/>
              </w:rPr>
              <w:t>ТК13-ТК-14</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100</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50</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подземная в непрох.кан-х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1995</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мин.вата, стеклоткань</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6</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rFonts w:eastAsia="Times New Roman"/>
                <w:color w:val="000000"/>
                <w:sz w:val="24"/>
                <w:szCs w:val="24"/>
                <w:lang w:eastAsia="ru-RU"/>
              </w:rPr>
              <w:t>ТК11-ТК-12</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100</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124</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подземная в непрох.кан-х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1995</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мин.вата, стеклоткань</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7</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rFonts w:eastAsia="Times New Roman"/>
                <w:color w:val="000000"/>
                <w:sz w:val="24"/>
                <w:szCs w:val="24"/>
                <w:lang w:eastAsia="ru-RU"/>
              </w:rPr>
              <w:t>ТК12-ФАП</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100</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30</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подземная в непрох.кан-х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2010</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мин.вата, стеклоткань</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8</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rFonts w:eastAsia="Times New Roman"/>
                <w:color w:val="000000"/>
                <w:sz w:val="24"/>
                <w:szCs w:val="24"/>
                <w:lang w:eastAsia="ru-RU"/>
              </w:rPr>
              <w:t>ТК11-ТК-10</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100</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150</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подземная в непрох.кан-х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1995</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мин.вата, стеклоткань</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9</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rFonts w:eastAsia="Times New Roman"/>
                <w:color w:val="000000"/>
                <w:sz w:val="24"/>
                <w:szCs w:val="24"/>
                <w:lang w:eastAsia="ru-RU"/>
              </w:rPr>
              <w:t>ТК10-Гараж</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50</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40</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подземная в непрох.кан-х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2011</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мин.вата, стеклоткань</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10</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rFonts w:eastAsia="Times New Roman"/>
                <w:color w:val="000000"/>
                <w:sz w:val="24"/>
                <w:szCs w:val="24"/>
                <w:lang w:eastAsia="ru-RU"/>
              </w:rPr>
              <w:t>ТК10-ТК9</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100</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150</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подземная в непрох.кан-х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2008</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мин.вата, стеклоткань</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11</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4"/>
                <w:szCs w:val="24"/>
              </w:rPr>
            </w:pPr>
            <w:r>
              <w:rPr>
                <w:sz w:val="24"/>
                <w:szCs w:val="24"/>
              </w:rPr>
              <w:t>ТК9-СДК</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100</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74</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подземная в непрох.кан-х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2020</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мин.вата, стеклоткань</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12</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rFonts w:eastAsia="Times New Roman"/>
                <w:color w:val="000000"/>
                <w:sz w:val="24"/>
                <w:szCs w:val="24"/>
                <w:lang w:eastAsia="ru-RU"/>
              </w:rPr>
              <w:t>ТК99-Спорткомплекс</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100</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200</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подземная в непрох.кан-х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2010</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мин.вата, стеклоткань</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13</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rFonts w:eastAsia="Times New Roman"/>
                <w:color w:val="000000"/>
                <w:sz w:val="24"/>
                <w:szCs w:val="24"/>
                <w:lang w:eastAsia="ru-RU"/>
              </w:rPr>
              <w:t>ТК9-ТК-8</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80</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70</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подземная в непрох.кан-х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2011</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мин.вата, стеклоткань</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14</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rFonts w:eastAsia="Times New Roman"/>
                <w:color w:val="000000"/>
                <w:sz w:val="24"/>
                <w:szCs w:val="24"/>
                <w:lang w:eastAsia="ru-RU"/>
              </w:rPr>
              <w:t>ТК8-ТК7</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80</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35</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подземная в непрох.кан-х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2011</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мин.вата, стеклоткань</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15</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rFonts w:eastAsia="Times New Roman"/>
                <w:color w:val="000000"/>
                <w:sz w:val="24"/>
                <w:szCs w:val="24"/>
                <w:lang w:eastAsia="ru-RU"/>
              </w:rPr>
              <w:t>ТК7-ТК-6</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80</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57</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подземная в непрох.кан-х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2022</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мин.вата, стеклоткань</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16</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rFonts w:eastAsia="Times New Roman"/>
                <w:color w:val="000000"/>
                <w:sz w:val="24"/>
                <w:szCs w:val="24"/>
                <w:lang w:eastAsia="ru-RU"/>
              </w:rPr>
              <w:t>ТК6-ТК5</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80</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75</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подземная в непрох.кан-х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2022</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мин.вата, стеклоткань</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17</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rFonts w:eastAsia="Times New Roman"/>
                <w:color w:val="000000"/>
                <w:sz w:val="24"/>
                <w:szCs w:val="24"/>
                <w:lang w:eastAsia="ru-RU"/>
              </w:rPr>
              <w:t>ТК-Угол поворота</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t>65</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t>103</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подземная в непрох.кан-х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t>2022</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мин.вата, стеклоткань</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18</w:t>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rFonts w:eastAsia="Times New Roman"/>
                <w:color w:val="000000"/>
                <w:sz w:val="24"/>
                <w:szCs w:val="24"/>
                <w:lang w:eastAsia="ru-RU"/>
              </w:rPr>
              <w:t>Угол поворота в здание детского сада</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76</w:t>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28</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подземная в непрох.кан-х</w:t>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2022</w:t>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rFonts w:eastAsia="Times New Roman"/>
                <w:color w:val="000000"/>
                <w:sz w:val="24"/>
                <w:szCs w:val="24"/>
                <w:lang w:eastAsia="ru-RU"/>
              </w:rPr>
              <w:t>1,6</w:t>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color w:val="000000"/>
                <w:sz w:val="24"/>
                <w:szCs w:val="24"/>
                <w:lang w:eastAsia="ru-RU"/>
              </w:rPr>
              <w:t>мин.вата, стеклоткань</w:t>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b/>
                <w:b/>
                <w:bCs/>
              </w:rPr>
            </w:pPr>
            <w:r>
              <w:rPr>
                <w:rFonts w:eastAsia="Times New Roman"/>
                <w:b/>
                <w:bCs/>
                <w:color w:val="000000"/>
                <w:sz w:val="24"/>
                <w:szCs w:val="24"/>
                <w:lang w:eastAsia="ru-RU"/>
              </w:rPr>
              <w:t xml:space="preserve">          </w:t>
            </w:r>
            <w:r>
              <w:rPr>
                <w:rFonts w:eastAsia="Times New Roman"/>
                <w:b/>
                <w:bCs/>
                <w:color w:val="000000"/>
                <w:sz w:val="24"/>
                <w:szCs w:val="24"/>
                <w:lang w:eastAsia="ru-RU"/>
              </w:rPr>
              <w:t>Всего:</w:t>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b/>
                <w:b/>
                <w:bCs/>
              </w:rPr>
            </w:pPr>
            <w:r>
              <w:rPr>
                <w:b/>
                <w:bCs/>
              </w:rPr>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b/>
                <w:b/>
                <w:bCs/>
              </w:rPr>
            </w:pPr>
            <w:r>
              <w:rPr>
                <w:rFonts w:eastAsia="Times New Roman"/>
                <w:b/>
                <w:bCs/>
                <w:color w:val="000000"/>
                <w:sz w:val="24"/>
                <w:szCs w:val="24"/>
                <w:lang w:eastAsia="ru-RU"/>
              </w:rPr>
              <w:t>1326м</w:t>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b/>
                <w:b/>
                <w:bCs/>
              </w:rPr>
            </w:pPr>
            <w:r>
              <w:rPr>
                <w:b/>
                <w:bCs/>
              </w:rPr>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b/>
                <w:b/>
                <w:bCs/>
              </w:rPr>
            </w:pPr>
            <w:r>
              <w:rPr>
                <w:b/>
                <w:bCs/>
              </w:rPr>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sz w:val="26"/>
                <w:szCs w:val="26"/>
              </w:rPr>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sz w:val="26"/>
                <w:szCs w:val="26"/>
              </w:rPr>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sz w:val="26"/>
                <w:szCs w:val="26"/>
              </w:rPr>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sz w:val="26"/>
                <w:szCs w:val="26"/>
              </w:rPr>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sz w:val="26"/>
                <w:szCs w:val="26"/>
              </w:rPr>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r>
      <w:tr>
        <w:trPr>
          <w:trHeight w:val="300"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sz w:val="26"/>
                <w:szCs w:val="26"/>
              </w:rPr>
            </w:pPr>
            <w:r>
              <w:rPr>
                <w:sz w:val="26"/>
                <w:szCs w:val="26"/>
              </w:rPr>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sz w:val="26"/>
                <w:szCs w:val="26"/>
              </w:rPr>
            </w:r>
          </w:p>
        </w:tc>
      </w:tr>
      <w:tr>
        <w:trPr>
          <w:trHeight w:val="315" w:hRule="atLeast"/>
        </w:trPr>
        <w:tc>
          <w:tcPr>
            <w:tcW w:w="530"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4"/>
                <w:szCs w:val="24"/>
                <w:lang w:eastAsia="ru-RU"/>
              </w:rPr>
            </w:pPr>
            <w:r>
              <w:rPr>
                <w:rFonts w:eastAsia="Times New Roman"/>
                <w:color w:val="000000"/>
                <w:sz w:val="24"/>
                <w:szCs w:val="24"/>
                <w:lang w:eastAsia="ru-RU"/>
              </w:rPr>
            </w:r>
          </w:p>
        </w:tc>
        <w:tc>
          <w:tcPr>
            <w:tcW w:w="184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right"/>
              <w:rPr>
                <w:sz w:val="26"/>
                <w:szCs w:val="26"/>
              </w:rPr>
            </w:pPr>
            <w:r>
              <w:rPr>
                <w:sz w:val="26"/>
                <w:szCs w:val="26"/>
              </w:rPr>
            </w:r>
          </w:p>
        </w:tc>
        <w:tc>
          <w:tcPr>
            <w:tcW w:w="114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4"/>
                <w:szCs w:val="24"/>
                <w:lang w:eastAsia="ru-RU"/>
              </w:rPr>
            </w:pPr>
            <w:r>
              <w:rPr>
                <w:rFonts w:eastAsia="Times New Roman"/>
                <w:color w:val="000000"/>
                <w:sz w:val="24"/>
                <w:szCs w:val="24"/>
                <w:lang w:eastAsia="ru-RU"/>
              </w:rPr>
            </w:r>
          </w:p>
        </w:tc>
        <w:tc>
          <w:tcPr>
            <w:tcW w:w="146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sz w:val="26"/>
                <w:szCs w:val="26"/>
              </w:rPr>
            </w:pPr>
            <w:r>
              <w:rPr>
                <w:sz w:val="26"/>
                <w:szCs w:val="26"/>
              </w:rPr>
            </w:r>
          </w:p>
        </w:tc>
        <w:tc>
          <w:tcPr>
            <w:tcW w:w="1486"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4"/>
                <w:szCs w:val="24"/>
                <w:lang w:eastAsia="ru-RU"/>
              </w:rPr>
            </w:pPr>
            <w:r>
              <w:rPr>
                <w:rFonts w:eastAsia="Times New Roman"/>
                <w:color w:val="000000"/>
                <w:sz w:val="24"/>
                <w:szCs w:val="24"/>
                <w:lang w:eastAsia="ru-RU"/>
              </w:rPr>
            </w:r>
          </w:p>
        </w:tc>
        <w:tc>
          <w:tcPr>
            <w:tcW w:w="113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4"/>
                <w:szCs w:val="24"/>
                <w:lang w:eastAsia="ru-RU"/>
              </w:rPr>
            </w:pPr>
            <w:r>
              <w:rPr>
                <w:rFonts w:eastAsia="Times New Roman"/>
                <w:color w:val="000000"/>
                <w:sz w:val="24"/>
                <w:szCs w:val="24"/>
                <w:lang w:eastAsia="ru-RU"/>
              </w:rPr>
            </w:r>
          </w:p>
        </w:tc>
        <w:tc>
          <w:tcPr>
            <w:tcW w:w="170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4"/>
                <w:szCs w:val="24"/>
                <w:lang w:eastAsia="ru-RU"/>
              </w:rPr>
            </w:pPr>
            <w:r>
              <w:rPr>
                <w:rFonts w:eastAsia="Times New Roman"/>
                <w:color w:val="000000"/>
                <w:sz w:val="24"/>
                <w:szCs w:val="24"/>
                <w:lang w:eastAsia="ru-RU"/>
              </w:rPr>
            </w:r>
          </w:p>
        </w:tc>
        <w:tc>
          <w:tcPr>
            <w:tcW w:w="15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4"/>
                <w:szCs w:val="24"/>
                <w:lang w:eastAsia="ru-RU"/>
              </w:rPr>
            </w:pPr>
            <w:r>
              <w:rPr>
                <w:rFonts w:eastAsia="Times New Roman"/>
                <w:color w:val="000000"/>
                <w:sz w:val="24"/>
                <w:szCs w:val="24"/>
                <w:lang w:eastAsia="ru-RU"/>
              </w:rPr>
            </w:r>
          </w:p>
        </w:tc>
      </w:tr>
    </w:tbl>
    <w:p>
      <w:pPr>
        <w:pStyle w:val="Normal"/>
        <w:ind w:firstLine="850"/>
        <w:jc w:val="both"/>
        <w:rPr>
          <w:sz w:val="26"/>
          <w:szCs w:val="26"/>
        </w:rPr>
      </w:pPr>
      <w:r>
        <w:rPr>
          <w:sz w:val="26"/>
          <w:szCs w:val="26"/>
        </w:rPr>
      </w:r>
    </w:p>
    <w:p>
      <w:pPr>
        <w:pStyle w:val="Normal"/>
        <w:widowControl w:val="false"/>
        <w:tabs>
          <w:tab w:val="clear" w:pos="708"/>
          <w:tab w:val="left" w:pos="1795" w:leader="none"/>
        </w:tabs>
        <w:spacing w:lineRule="auto" w:line="228" w:before="14" w:after="0"/>
        <w:ind w:firstLine="850"/>
        <w:jc w:val="both"/>
        <w:rPr>
          <w:sz w:val="26"/>
          <w:szCs w:val="26"/>
        </w:rPr>
      </w:pPr>
      <w:r>
        <w:rPr>
          <w:rFonts w:eastAsia="Times New Roman"/>
          <w:color w:val="000000"/>
          <w:sz w:val="26"/>
          <w:szCs w:val="26"/>
          <w:lang w:eastAsia="zh-CN"/>
        </w:rPr>
        <w:t xml:space="preserve">Износ </w:t>
      </w:r>
      <w:r>
        <w:rPr>
          <w:color w:val="000000"/>
          <w:sz w:val="26"/>
          <w:szCs w:val="26"/>
        </w:rPr>
        <w:t xml:space="preserve">тепловых сетей определен расчетным методом исходя из среднего нормативного срока службы сетей теплоснабжения в стальном исполнении, и составляет на 01.01.2026 года </w:t>
      </w:r>
      <w:r>
        <w:rPr>
          <w:color w:val="000000"/>
          <w:sz w:val="26"/>
          <w:szCs w:val="26"/>
        </w:rPr>
        <w:t>51,25%.</w:t>
      </w:r>
    </w:p>
    <w:p>
      <w:pPr>
        <w:pStyle w:val="Normal"/>
        <w:tabs>
          <w:tab w:val="clear" w:pos="708"/>
          <w:tab w:val="left" w:pos="1795" w:leader="none"/>
        </w:tabs>
        <w:spacing w:lineRule="auto" w:line="228"/>
        <w:ind w:firstLine="850"/>
        <w:jc w:val="both"/>
        <w:rPr>
          <w:sz w:val="26"/>
          <w:szCs w:val="26"/>
        </w:rPr>
      </w:pPr>
      <w:r>
        <w:rPr>
          <w:sz w:val="26"/>
          <w:szCs w:val="26"/>
        </w:rPr>
        <w:t>Протяженность участков тепловых сетей 1995 года постройки с износом 100%, составляет 324 метра.</w:t>
      </w:r>
    </w:p>
    <w:p>
      <w:pPr>
        <w:pStyle w:val="Normal"/>
        <w:ind w:firstLine="708"/>
        <w:jc w:val="center"/>
        <w:rPr>
          <w:b/>
          <w:b/>
          <w:bCs/>
          <w:sz w:val="26"/>
          <w:szCs w:val="26"/>
          <w:highlight w:val="red"/>
        </w:rPr>
      </w:pPr>
      <w:r>
        <w:rPr>
          <w:b/>
          <w:bCs/>
          <w:sz w:val="26"/>
          <w:szCs w:val="26"/>
          <w:highlight w:val="red"/>
        </w:rPr>
      </w:r>
    </w:p>
    <w:p>
      <w:pPr>
        <w:pStyle w:val="Normal"/>
        <w:ind w:firstLine="708"/>
        <w:jc w:val="center"/>
        <w:rPr>
          <w:sz w:val="26"/>
          <w:szCs w:val="26"/>
        </w:rPr>
      </w:pPr>
      <w:r>
        <w:rPr>
          <w:b/>
          <w:bCs/>
          <w:sz w:val="26"/>
          <w:szCs w:val="26"/>
        </w:rPr>
        <w:t xml:space="preserve">Технико-экономические показатели котельной </w:t>
      </w:r>
    </w:p>
    <w:p>
      <w:pPr>
        <w:pStyle w:val="Normal"/>
        <w:ind w:firstLine="708"/>
        <w:jc w:val="right"/>
        <w:rPr>
          <w:sz w:val="26"/>
          <w:szCs w:val="26"/>
        </w:rPr>
      </w:pPr>
      <w:r>
        <w:rPr>
          <w:sz w:val="26"/>
          <w:szCs w:val="26"/>
        </w:rPr>
        <w:t>Таблица 2</w:t>
      </w:r>
    </w:p>
    <w:p>
      <w:pPr>
        <w:pStyle w:val="Normal"/>
        <w:ind w:firstLine="708"/>
        <w:jc w:val="right"/>
        <w:rPr>
          <w:sz w:val="26"/>
          <w:szCs w:val="26"/>
        </w:rPr>
      </w:pPr>
      <w:r>
        <w:rPr>
          <w:sz w:val="26"/>
          <w:szCs w:val="26"/>
        </w:rPr>
      </w:r>
    </w:p>
    <w:tbl>
      <w:tblPr>
        <w:tblW w:w="10174" w:type="dxa"/>
        <w:jc w:val="left"/>
        <w:tblInd w:w="130" w:type="dxa"/>
        <w:tblLayout w:type="fixed"/>
        <w:tblCellMar>
          <w:top w:w="0" w:type="dxa"/>
          <w:left w:w="98" w:type="dxa"/>
          <w:bottom w:w="0" w:type="dxa"/>
          <w:right w:w="108" w:type="dxa"/>
        </w:tblCellMar>
        <w:tblLook w:val="04a0"/>
      </w:tblPr>
      <w:tblGrid>
        <w:gridCol w:w="3865"/>
        <w:gridCol w:w="1205"/>
        <w:gridCol w:w="1276"/>
        <w:gridCol w:w="1277"/>
        <w:gridCol w:w="1279"/>
        <w:gridCol w:w="1271"/>
      </w:tblGrid>
      <w:tr>
        <w:trPr>
          <w:trHeight w:val="600" w:hRule="atLeast"/>
        </w:trPr>
        <w:tc>
          <w:tcPr>
            <w:tcW w:w="3865"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Наименование показателя</w:t>
            </w:r>
          </w:p>
        </w:tc>
        <w:tc>
          <w:tcPr>
            <w:tcW w:w="1205" w:type="dxa"/>
            <w:tcBorders>
              <w:top w:val="single" w:sz="4" w:space="0" w:color="00000A"/>
              <w:left w:val="single" w:sz="4" w:space="0" w:color="00000A"/>
              <w:bottom w:val="single" w:sz="4" w:space="0" w:color="00000A"/>
              <w:right w:val="single" w:sz="4" w:space="0" w:color="000001"/>
            </w:tcBorders>
            <w:shd w:color="auto" w:fill="auto" w:val="clear"/>
            <w:vAlign w:val="center"/>
          </w:tcPr>
          <w:p>
            <w:pPr>
              <w:pStyle w:val="Normal"/>
              <w:widowControl w:val="false"/>
              <w:ind w:hanging="0"/>
              <w:jc w:val="center"/>
              <w:rPr>
                <w:sz w:val="26"/>
                <w:szCs w:val="26"/>
              </w:rPr>
            </w:pPr>
            <w:r>
              <w:rPr>
                <w:rFonts w:eastAsia="Times New Roman"/>
                <w:color w:val="000000"/>
                <w:sz w:val="26"/>
                <w:szCs w:val="26"/>
                <w:lang w:eastAsia="ru-RU"/>
              </w:rPr>
              <w:t>2021 год</w:t>
            </w:r>
          </w:p>
        </w:tc>
        <w:tc>
          <w:tcPr>
            <w:tcW w:w="1276" w:type="dxa"/>
            <w:tcBorders>
              <w:top w:val="single" w:sz="4" w:space="0" w:color="00000A"/>
              <w:left w:val="single" w:sz="4" w:space="0" w:color="00000A"/>
              <w:bottom w:val="single" w:sz="4" w:space="0" w:color="00000A"/>
              <w:right w:val="single" w:sz="4" w:space="0" w:color="000001"/>
            </w:tcBorders>
            <w:shd w:color="auto" w:fill="auto" w:val="clear"/>
            <w:vAlign w:val="center"/>
          </w:tcPr>
          <w:p>
            <w:pPr>
              <w:pStyle w:val="Normal"/>
              <w:widowControl w:val="false"/>
              <w:ind w:hanging="0"/>
              <w:jc w:val="center"/>
              <w:rPr>
                <w:sz w:val="26"/>
                <w:szCs w:val="26"/>
              </w:rPr>
            </w:pPr>
            <w:r>
              <w:rPr>
                <w:rFonts w:eastAsia="Times New Roman"/>
                <w:color w:val="000000"/>
                <w:sz w:val="26"/>
                <w:szCs w:val="26"/>
                <w:lang w:eastAsia="ru-RU"/>
              </w:rPr>
              <w:t xml:space="preserve"> </w:t>
            </w:r>
            <w:r>
              <w:rPr>
                <w:rFonts w:eastAsia="Times New Roman"/>
                <w:color w:val="000000"/>
                <w:sz w:val="26"/>
                <w:szCs w:val="26"/>
                <w:lang w:eastAsia="ru-RU"/>
              </w:rPr>
              <w:t>2022 год</w:t>
            </w:r>
          </w:p>
        </w:tc>
        <w:tc>
          <w:tcPr>
            <w:tcW w:w="1277"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2023 год</w:t>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27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2024 год</w:t>
            </w:r>
          </w:p>
        </w:tc>
        <w:tc>
          <w:tcPr>
            <w:tcW w:w="1271"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2025 год</w:t>
            </w:r>
          </w:p>
        </w:tc>
      </w:tr>
      <w:tr>
        <w:trPr>
          <w:trHeight w:val="300" w:hRule="atLeast"/>
        </w:trPr>
        <w:tc>
          <w:tcPr>
            <w:tcW w:w="386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Выработка тепловой энергии</w:t>
            </w:r>
          </w:p>
          <w:p>
            <w:pPr>
              <w:pStyle w:val="Normal"/>
              <w:widowControl w:val="false"/>
              <w:ind w:hanging="0"/>
              <w:rPr>
                <w:sz w:val="26"/>
                <w:szCs w:val="26"/>
              </w:rPr>
            </w:pPr>
            <w:r>
              <w:rPr>
                <w:rFonts w:eastAsia="Times New Roman"/>
                <w:color w:val="000000"/>
                <w:sz w:val="26"/>
                <w:szCs w:val="26"/>
                <w:lang w:eastAsia="ru-RU"/>
              </w:rPr>
              <w:t>Гкал</w:t>
            </w:r>
          </w:p>
        </w:tc>
        <w:tc>
          <w:tcPr>
            <w:tcW w:w="1205"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1883</w:t>
            </w:r>
          </w:p>
        </w:tc>
        <w:tc>
          <w:tcPr>
            <w:tcW w:w="1276"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1905,7</w:t>
            </w:r>
          </w:p>
        </w:tc>
        <w:tc>
          <w:tcPr>
            <w:tcW w:w="127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1870,062</w:t>
            </w:r>
          </w:p>
        </w:tc>
        <w:tc>
          <w:tcPr>
            <w:tcW w:w="127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2281,1</w:t>
            </w:r>
          </w:p>
        </w:tc>
        <w:tc>
          <w:tcPr>
            <w:tcW w:w="1271"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2041,094</w:t>
            </w:r>
          </w:p>
        </w:tc>
      </w:tr>
      <w:tr>
        <w:trPr>
          <w:trHeight w:val="300" w:hRule="atLeast"/>
        </w:trPr>
        <w:tc>
          <w:tcPr>
            <w:tcW w:w="386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Собственные нужды      Гкал</w:t>
            </w:r>
          </w:p>
        </w:tc>
        <w:tc>
          <w:tcPr>
            <w:tcW w:w="1205"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63</w:t>
            </w:r>
          </w:p>
        </w:tc>
        <w:tc>
          <w:tcPr>
            <w:tcW w:w="1276"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56</w:t>
            </w:r>
          </w:p>
        </w:tc>
        <w:tc>
          <w:tcPr>
            <w:tcW w:w="127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72</w:t>
            </w:r>
          </w:p>
        </w:tc>
        <w:tc>
          <w:tcPr>
            <w:tcW w:w="127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color w:val="000000"/>
                <w:sz w:val="26"/>
                <w:szCs w:val="26"/>
                <w:lang w:eastAsia="ru-RU"/>
              </w:rPr>
              <w:t>77</w:t>
            </w:r>
          </w:p>
        </w:tc>
        <w:tc>
          <w:tcPr>
            <w:tcW w:w="1271"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80</w:t>
            </w:r>
          </w:p>
        </w:tc>
      </w:tr>
      <w:tr>
        <w:trPr>
          <w:trHeight w:val="300" w:hRule="atLeast"/>
        </w:trPr>
        <w:tc>
          <w:tcPr>
            <w:tcW w:w="386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Полезный отпуск тепловой энергии    Гкал</w:t>
            </w:r>
          </w:p>
        </w:tc>
        <w:tc>
          <w:tcPr>
            <w:tcW w:w="1205"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1819</w:t>
            </w:r>
          </w:p>
        </w:tc>
        <w:tc>
          <w:tcPr>
            <w:tcW w:w="1276"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1849,7</w:t>
            </w:r>
          </w:p>
        </w:tc>
        <w:tc>
          <w:tcPr>
            <w:tcW w:w="127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1798,062</w:t>
            </w:r>
          </w:p>
        </w:tc>
        <w:tc>
          <w:tcPr>
            <w:tcW w:w="127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2204,1</w:t>
            </w:r>
          </w:p>
        </w:tc>
        <w:tc>
          <w:tcPr>
            <w:tcW w:w="1271"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1961,094</w:t>
            </w:r>
          </w:p>
        </w:tc>
      </w:tr>
      <w:tr>
        <w:trPr>
          <w:trHeight w:val="300" w:hRule="atLeast"/>
        </w:trPr>
        <w:tc>
          <w:tcPr>
            <w:tcW w:w="386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Потери т/э в тепловых сетях</w:t>
            </w:r>
          </w:p>
          <w:p>
            <w:pPr>
              <w:pStyle w:val="Normal"/>
              <w:widowControl w:val="false"/>
              <w:ind w:hanging="0"/>
              <w:rPr>
                <w:sz w:val="26"/>
                <w:szCs w:val="26"/>
              </w:rPr>
            </w:pPr>
            <w:r>
              <w:rPr>
                <w:rFonts w:eastAsia="Times New Roman"/>
                <w:color w:val="000000"/>
                <w:sz w:val="26"/>
                <w:szCs w:val="26"/>
                <w:lang w:eastAsia="ru-RU"/>
              </w:rPr>
              <w:t>Гкал</w:t>
            </w:r>
          </w:p>
        </w:tc>
        <w:tc>
          <w:tcPr>
            <w:tcW w:w="1205"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618</w:t>
            </w:r>
          </w:p>
        </w:tc>
        <w:tc>
          <w:tcPr>
            <w:tcW w:w="1276"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689,7</w:t>
            </w:r>
          </w:p>
        </w:tc>
        <w:tc>
          <w:tcPr>
            <w:tcW w:w="127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666,872</w:t>
            </w:r>
          </w:p>
        </w:tc>
        <w:tc>
          <w:tcPr>
            <w:tcW w:w="127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930,67</w:t>
            </w:r>
          </w:p>
        </w:tc>
        <w:tc>
          <w:tcPr>
            <w:tcW w:w="1271"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872,506</w:t>
            </w:r>
          </w:p>
        </w:tc>
      </w:tr>
      <w:tr>
        <w:trPr>
          <w:trHeight w:val="300" w:hRule="atLeast"/>
        </w:trPr>
        <w:tc>
          <w:tcPr>
            <w:tcW w:w="386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Потери теплоносителя в тепловых сетях      м3</w:t>
            </w:r>
          </w:p>
        </w:tc>
        <w:tc>
          <w:tcPr>
            <w:tcW w:w="1205"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309</w:t>
            </w:r>
          </w:p>
        </w:tc>
        <w:tc>
          <w:tcPr>
            <w:tcW w:w="1276"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345</w:t>
            </w:r>
          </w:p>
        </w:tc>
        <w:tc>
          <w:tcPr>
            <w:tcW w:w="127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334</w:t>
            </w:r>
          </w:p>
        </w:tc>
        <w:tc>
          <w:tcPr>
            <w:tcW w:w="127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477</w:t>
            </w:r>
          </w:p>
        </w:tc>
        <w:tc>
          <w:tcPr>
            <w:tcW w:w="1271"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447,19</w:t>
            </w:r>
          </w:p>
        </w:tc>
      </w:tr>
      <w:tr>
        <w:trPr>
          <w:trHeight w:val="300" w:hRule="atLeast"/>
        </w:trPr>
        <w:tc>
          <w:tcPr>
            <w:tcW w:w="386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Реализовано тепловой энергии</w:t>
            </w:r>
          </w:p>
          <w:p>
            <w:pPr>
              <w:pStyle w:val="Normal"/>
              <w:widowControl w:val="false"/>
              <w:ind w:hanging="0"/>
              <w:rPr>
                <w:sz w:val="26"/>
                <w:szCs w:val="26"/>
              </w:rPr>
            </w:pPr>
            <w:r>
              <w:rPr>
                <w:rFonts w:eastAsia="Times New Roman"/>
                <w:color w:val="000000"/>
                <w:sz w:val="26"/>
                <w:szCs w:val="26"/>
                <w:lang w:eastAsia="ru-RU"/>
              </w:rPr>
              <w:t>Гкал</w:t>
            </w:r>
          </w:p>
        </w:tc>
        <w:tc>
          <w:tcPr>
            <w:tcW w:w="1205"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1202</w:t>
            </w:r>
          </w:p>
        </w:tc>
        <w:tc>
          <w:tcPr>
            <w:tcW w:w="1276"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1160</w:t>
            </w:r>
          </w:p>
        </w:tc>
        <w:tc>
          <w:tcPr>
            <w:tcW w:w="127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1131,19</w:t>
            </w:r>
          </w:p>
        </w:tc>
        <w:tc>
          <w:tcPr>
            <w:tcW w:w="127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1273,43</w:t>
            </w:r>
          </w:p>
        </w:tc>
        <w:tc>
          <w:tcPr>
            <w:tcW w:w="1271"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1088,588</w:t>
            </w:r>
          </w:p>
        </w:tc>
      </w:tr>
      <w:tr>
        <w:trPr>
          <w:trHeight w:val="300" w:hRule="atLeast"/>
        </w:trPr>
        <w:tc>
          <w:tcPr>
            <w:tcW w:w="386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В том числе:</w:t>
            </w:r>
          </w:p>
        </w:tc>
        <w:tc>
          <w:tcPr>
            <w:tcW w:w="1205"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276"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27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27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271"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tc>
      </w:tr>
      <w:tr>
        <w:trPr>
          <w:trHeight w:val="300" w:hRule="atLeast"/>
        </w:trPr>
        <w:tc>
          <w:tcPr>
            <w:tcW w:w="386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население</w:t>
            </w:r>
          </w:p>
        </w:tc>
        <w:tc>
          <w:tcPr>
            <w:tcW w:w="1205"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276"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0</w:t>
            </w:r>
          </w:p>
        </w:tc>
        <w:tc>
          <w:tcPr>
            <w:tcW w:w="127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27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271"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0</w:t>
            </w:r>
          </w:p>
        </w:tc>
      </w:tr>
      <w:tr>
        <w:trPr>
          <w:trHeight w:val="300" w:hRule="atLeast"/>
        </w:trPr>
        <w:tc>
          <w:tcPr>
            <w:tcW w:w="386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Бюджетофинансируемые организации</w:t>
            </w:r>
          </w:p>
        </w:tc>
        <w:tc>
          <w:tcPr>
            <w:tcW w:w="1205"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276"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27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1107,54</w:t>
            </w:r>
          </w:p>
        </w:tc>
        <w:tc>
          <w:tcPr>
            <w:tcW w:w="127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1260,07</w:t>
            </w:r>
          </w:p>
        </w:tc>
        <w:tc>
          <w:tcPr>
            <w:tcW w:w="1271"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1088,588</w:t>
            </w:r>
          </w:p>
        </w:tc>
      </w:tr>
      <w:tr>
        <w:trPr>
          <w:trHeight w:val="300" w:hRule="atLeast"/>
        </w:trPr>
        <w:tc>
          <w:tcPr>
            <w:tcW w:w="386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Прочие потребители</w:t>
            </w:r>
          </w:p>
        </w:tc>
        <w:tc>
          <w:tcPr>
            <w:tcW w:w="1205"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276"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27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23,65</w:t>
            </w:r>
          </w:p>
        </w:tc>
        <w:tc>
          <w:tcPr>
            <w:tcW w:w="127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color w:val="000000"/>
                <w:sz w:val="26"/>
                <w:szCs w:val="26"/>
                <w:lang w:eastAsia="ru-RU"/>
              </w:rPr>
              <w:t>13,36</w:t>
            </w:r>
          </w:p>
        </w:tc>
        <w:tc>
          <w:tcPr>
            <w:tcW w:w="1271"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0</w:t>
            </w:r>
          </w:p>
        </w:tc>
      </w:tr>
      <w:tr>
        <w:trPr>
          <w:trHeight w:val="300" w:hRule="atLeast"/>
        </w:trPr>
        <w:tc>
          <w:tcPr>
            <w:tcW w:w="386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УРУТ на отпуск тепловой энергии  кг.у.т/Гкал</w:t>
            </w:r>
          </w:p>
        </w:tc>
        <w:tc>
          <w:tcPr>
            <w:tcW w:w="1205"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254</w:t>
            </w:r>
          </w:p>
        </w:tc>
        <w:tc>
          <w:tcPr>
            <w:tcW w:w="1276"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274</w:t>
            </w:r>
          </w:p>
        </w:tc>
        <w:tc>
          <w:tcPr>
            <w:tcW w:w="127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257</w:t>
            </w:r>
          </w:p>
        </w:tc>
        <w:tc>
          <w:tcPr>
            <w:tcW w:w="127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254</w:t>
            </w:r>
          </w:p>
        </w:tc>
        <w:tc>
          <w:tcPr>
            <w:tcW w:w="1271"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250</w:t>
            </w:r>
          </w:p>
        </w:tc>
      </w:tr>
      <w:tr>
        <w:trPr>
          <w:trHeight w:val="300" w:hRule="atLeast"/>
        </w:trPr>
        <w:tc>
          <w:tcPr>
            <w:tcW w:w="386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Расход условного топлива</w:t>
            </w:r>
          </w:p>
          <w:p>
            <w:pPr>
              <w:pStyle w:val="Normal"/>
              <w:widowControl w:val="false"/>
              <w:ind w:hanging="0"/>
              <w:rPr>
                <w:sz w:val="26"/>
                <w:szCs w:val="26"/>
              </w:rPr>
            </w:pPr>
            <w:r>
              <w:rPr>
                <w:rFonts w:eastAsia="Times New Roman"/>
                <w:color w:val="000000"/>
                <w:sz w:val="26"/>
                <w:szCs w:val="26"/>
                <w:lang w:eastAsia="ru-RU"/>
              </w:rPr>
              <w:t>т.у.т.</w:t>
            </w:r>
          </w:p>
        </w:tc>
        <w:tc>
          <w:tcPr>
            <w:tcW w:w="1205"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463</w:t>
            </w:r>
          </w:p>
        </w:tc>
        <w:tc>
          <w:tcPr>
            <w:tcW w:w="1276"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514,5</w:t>
            </w:r>
          </w:p>
        </w:tc>
        <w:tc>
          <w:tcPr>
            <w:tcW w:w="127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446</w:t>
            </w:r>
          </w:p>
        </w:tc>
        <w:tc>
          <w:tcPr>
            <w:tcW w:w="127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563,95</w:t>
            </w:r>
          </w:p>
        </w:tc>
        <w:tc>
          <w:tcPr>
            <w:tcW w:w="1271"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485,412</w:t>
            </w:r>
          </w:p>
        </w:tc>
      </w:tr>
      <w:tr>
        <w:trPr>
          <w:trHeight w:val="300" w:hRule="atLeast"/>
        </w:trPr>
        <w:tc>
          <w:tcPr>
            <w:tcW w:w="386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Расход натурального топлива</w:t>
            </w:r>
          </w:p>
          <w:p>
            <w:pPr>
              <w:pStyle w:val="Normal"/>
              <w:widowControl w:val="false"/>
              <w:ind w:hanging="0"/>
              <w:rPr>
                <w:sz w:val="26"/>
                <w:szCs w:val="26"/>
              </w:rPr>
            </w:pPr>
            <w:r>
              <w:rPr>
                <w:rFonts w:eastAsia="Times New Roman"/>
                <w:color w:val="000000"/>
                <w:sz w:val="26"/>
                <w:szCs w:val="26"/>
                <w:lang w:eastAsia="ru-RU"/>
              </w:rPr>
              <w:t>т.н.т.</w:t>
            </w:r>
          </w:p>
        </w:tc>
        <w:tc>
          <w:tcPr>
            <w:tcW w:w="1205"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624</w:t>
            </w:r>
          </w:p>
        </w:tc>
        <w:tc>
          <w:tcPr>
            <w:tcW w:w="1276"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716,2</w:t>
            </w:r>
          </w:p>
        </w:tc>
        <w:tc>
          <w:tcPr>
            <w:tcW w:w="127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628</w:t>
            </w:r>
          </w:p>
        </w:tc>
        <w:tc>
          <w:tcPr>
            <w:tcW w:w="127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791,6</w:t>
            </w:r>
          </w:p>
        </w:tc>
        <w:tc>
          <w:tcPr>
            <w:tcW w:w="1271"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725,56</w:t>
            </w:r>
          </w:p>
        </w:tc>
      </w:tr>
      <w:tr>
        <w:trPr>
          <w:trHeight w:val="300" w:hRule="atLeast"/>
        </w:trPr>
        <w:tc>
          <w:tcPr>
            <w:tcW w:w="386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Расход электроэнергии всего</w:t>
            </w:r>
          </w:p>
          <w:p>
            <w:pPr>
              <w:pStyle w:val="Normal"/>
              <w:widowControl w:val="false"/>
              <w:ind w:hanging="0"/>
              <w:rPr>
                <w:sz w:val="26"/>
                <w:szCs w:val="26"/>
              </w:rPr>
            </w:pPr>
            <w:r>
              <w:rPr>
                <w:rFonts w:eastAsia="Times New Roman"/>
                <w:color w:val="000000"/>
                <w:sz w:val="26"/>
                <w:szCs w:val="26"/>
                <w:lang w:eastAsia="ru-RU"/>
              </w:rPr>
              <w:t>тыс.квт./год</w:t>
            </w:r>
          </w:p>
        </w:tc>
        <w:tc>
          <w:tcPr>
            <w:tcW w:w="1205"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101</w:t>
            </w:r>
          </w:p>
        </w:tc>
        <w:tc>
          <w:tcPr>
            <w:tcW w:w="1276"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84,045</w:t>
            </w:r>
          </w:p>
        </w:tc>
        <w:tc>
          <w:tcPr>
            <w:tcW w:w="127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109</w:t>
            </w:r>
          </w:p>
        </w:tc>
        <w:tc>
          <w:tcPr>
            <w:tcW w:w="127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109,97</w:t>
            </w:r>
          </w:p>
        </w:tc>
        <w:tc>
          <w:tcPr>
            <w:tcW w:w="1271"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center" w:pos="534" w:leader="none"/>
              </w:tabs>
              <w:ind w:hanging="0"/>
              <w:rPr>
                <w:rFonts w:eastAsia="Times New Roman"/>
                <w:color w:val="000000"/>
                <w:sz w:val="26"/>
                <w:szCs w:val="26"/>
                <w:lang w:eastAsia="ru-RU"/>
              </w:rPr>
            </w:pPr>
            <w:r>
              <w:rPr>
                <w:rFonts w:eastAsia="Times New Roman"/>
                <w:color w:val="000000"/>
                <w:sz w:val="26"/>
                <w:szCs w:val="26"/>
                <w:lang w:eastAsia="ru-RU"/>
              </w:rPr>
            </w:r>
          </w:p>
          <w:p>
            <w:pPr>
              <w:pStyle w:val="Normal"/>
              <w:widowControl w:val="false"/>
              <w:tabs>
                <w:tab w:val="clear" w:pos="708"/>
                <w:tab w:val="center" w:pos="534" w:leader="none"/>
              </w:tabs>
              <w:ind w:hanging="0"/>
              <w:rPr>
                <w:rFonts w:eastAsia="Times New Roman"/>
                <w:color w:val="000000"/>
                <w:sz w:val="26"/>
                <w:szCs w:val="26"/>
                <w:lang w:eastAsia="ru-RU"/>
              </w:rPr>
            </w:pPr>
            <w:r>
              <w:rPr>
                <w:rFonts w:eastAsia="Times New Roman"/>
                <w:color w:val="000000"/>
                <w:sz w:val="26"/>
                <w:szCs w:val="26"/>
                <w:lang w:eastAsia="ru-RU"/>
              </w:rPr>
              <w:tab/>
              <w:t>81,077</w:t>
            </w:r>
          </w:p>
        </w:tc>
      </w:tr>
    </w:tbl>
    <w:p>
      <w:pPr>
        <w:pStyle w:val="Normal"/>
        <w:ind w:firstLine="850"/>
        <w:jc w:val="both"/>
        <w:rPr>
          <w:sz w:val="26"/>
          <w:szCs w:val="26"/>
        </w:rPr>
      </w:pPr>
      <w:r>
        <w:rPr>
          <w:rFonts w:eastAsia="Times New Roman"/>
          <w:sz w:val="26"/>
          <w:szCs w:val="26"/>
          <w:lang w:eastAsia="ru-RU"/>
        </w:rPr>
        <w:t>Эксплуатацию котельной и тепловых сетей на территории Доможаковского сельсовета осуществляет МКП «ЖКХ Усть-Абаканского района».</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center"/>
        <w:rPr>
          <w:rFonts w:eastAsia="Times New Roman"/>
          <w:sz w:val="26"/>
          <w:szCs w:val="26"/>
          <w:lang w:eastAsia="ru-RU"/>
        </w:rPr>
      </w:pPr>
      <w:r>
        <w:rPr>
          <w:rFonts w:eastAsia="Times New Roman"/>
          <w:sz w:val="26"/>
          <w:szCs w:val="26"/>
          <w:lang w:eastAsia="ru-RU"/>
        </w:rPr>
        <w:t xml:space="preserve">Тепловая мощность источников теплоснабжения </w:t>
      </w:r>
      <w:r>
        <w:rPr>
          <w:sz w:val="26"/>
          <w:szCs w:val="26"/>
        </w:rPr>
        <w:t>Доможаковского</w:t>
      </w:r>
      <w:r>
        <w:rPr>
          <w:rFonts w:eastAsia="Times New Roman"/>
          <w:sz w:val="26"/>
          <w:szCs w:val="26"/>
          <w:lang w:eastAsia="ru-RU"/>
        </w:rPr>
        <w:t xml:space="preserve"> сельсовета  </w:t>
      </w:r>
    </w:p>
    <w:p>
      <w:pPr>
        <w:pStyle w:val="Normal"/>
        <w:ind w:hanging="0"/>
        <w:jc w:val="center"/>
        <w:rPr>
          <w:sz w:val="26"/>
          <w:szCs w:val="26"/>
        </w:rPr>
      </w:pPr>
      <w:r>
        <w:rPr>
          <w:sz w:val="26"/>
          <w:szCs w:val="26"/>
        </w:rPr>
      </w:r>
    </w:p>
    <w:p>
      <w:pPr>
        <w:pStyle w:val="Normal"/>
        <w:ind w:hanging="0"/>
        <w:jc w:val="right"/>
        <w:rPr>
          <w:sz w:val="26"/>
          <w:szCs w:val="26"/>
        </w:rPr>
      </w:pPr>
      <w:r>
        <w:rPr>
          <w:rFonts w:eastAsia="Times New Roman"/>
          <w:sz w:val="26"/>
          <w:szCs w:val="26"/>
          <w:lang w:eastAsia="ru-RU"/>
        </w:rPr>
        <w:t>Таблица 3</w:t>
      </w:r>
    </w:p>
    <w:tbl>
      <w:tblPr>
        <w:tblW w:w="9933" w:type="dxa"/>
        <w:jc w:val="left"/>
        <w:tblInd w:w="0" w:type="dxa"/>
        <w:tblLayout w:type="fixed"/>
        <w:tblCellMar>
          <w:top w:w="0" w:type="dxa"/>
          <w:left w:w="103" w:type="dxa"/>
          <w:bottom w:w="0" w:type="dxa"/>
          <w:right w:w="108" w:type="dxa"/>
        </w:tblCellMar>
        <w:tblLook w:val="04a0"/>
      </w:tblPr>
      <w:tblGrid>
        <w:gridCol w:w="562"/>
        <w:gridCol w:w="1675"/>
        <w:gridCol w:w="1956"/>
        <w:gridCol w:w="1781"/>
        <w:gridCol w:w="1890"/>
        <w:gridCol w:w="2068"/>
      </w:tblGrid>
      <w:tr>
        <w:trPr/>
        <w:tc>
          <w:tcPr>
            <w:tcW w:w="5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w:t>
            </w:r>
          </w:p>
          <w:p>
            <w:pPr>
              <w:pStyle w:val="Normal"/>
              <w:widowControl w:val="false"/>
              <w:ind w:hanging="0"/>
              <w:jc w:val="both"/>
              <w:rPr>
                <w:sz w:val="26"/>
                <w:szCs w:val="26"/>
              </w:rPr>
            </w:pPr>
            <w:r>
              <w:rPr>
                <w:rFonts w:eastAsia="Times New Roman"/>
                <w:sz w:val="26"/>
                <w:szCs w:val="26"/>
                <w:lang w:eastAsia="ru-RU"/>
              </w:rPr>
              <w:t>п/п</w:t>
            </w:r>
          </w:p>
        </w:tc>
        <w:tc>
          <w:tcPr>
            <w:tcW w:w="167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котельная</w:t>
            </w:r>
          </w:p>
        </w:tc>
        <w:tc>
          <w:tcPr>
            <w:tcW w:w="19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Наименование котлов</w:t>
            </w:r>
          </w:p>
        </w:tc>
        <w:tc>
          <w:tcPr>
            <w:tcW w:w="17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Год ввода в эксплуатацию</w:t>
            </w:r>
          </w:p>
        </w:tc>
        <w:tc>
          <w:tcPr>
            <w:tcW w:w="18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Установленная мощность, Гкал/ч</w:t>
            </w:r>
          </w:p>
        </w:tc>
        <w:tc>
          <w:tcPr>
            <w:tcW w:w="20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Присоединенная нагрузка, Гкал/ч</w:t>
            </w:r>
          </w:p>
        </w:tc>
      </w:tr>
      <w:tr>
        <w:trPr/>
        <w:tc>
          <w:tcPr>
            <w:tcW w:w="5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1</w:t>
            </w:r>
          </w:p>
        </w:tc>
        <w:tc>
          <w:tcPr>
            <w:tcW w:w="167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2</w:t>
            </w:r>
          </w:p>
        </w:tc>
        <w:tc>
          <w:tcPr>
            <w:tcW w:w="19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3</w:t>
            </w:r>
          </w:p>
        </w:tc>
        <w:tc>
          <w:tcPr>
            <w:tcW w:w="17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4</w:t>
            </w:r>
          </w:p>
        </w:tc>
        <w:tc>
          <w:tcPr>
            <w:tcW w:w="18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5</w:t>
            </w:r>
          </w:p>
        </w:tc>
        <w:tc>
          <w:tcPr>
            <w:tcW w:w="20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6</w:t>
            </w:r>
          </w:p>
        </w:tc>
      </w:tr>
      <w:tr>
        <w:trPr/>
        <w:tc>
          <w:tcPr>
            <w:tcW w:w="5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1</w:t>
            </w:r>
          </w:p>
        </w:tc>
        <w:tc>
          <w:tcPr>
            <w:tcW w:w="167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котельная</w:t>
            </w:r>
          </w:p>
        </w:tc>
        <w:tc>
          <w:tcPr>
            <w:tcW w:w="19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КВр- 1.1,</w:t>
            </w:r>
          </w:p>
          <w:p>
            <w:pPr>
              <w:pStyle w:val="Normal"/>
              <w:widowControl w:val="false"/>
              <w:ind w:hanging="0"/>
              <w:jc w:val="center"/>
              <w:rPr>
                <w:sz w:val="26"/>
                <w:szCs w:val="26"/>
              </w:rPr>
            </w:pPr>
            <w:r>
              <w:rPr>
                <w:rFonts w:eastAsia="Times New Roman"/>
                <w:sz w:val="26"/>
                <w:szCs w:val="26"/>
                <w:lang w:eastAsia="ru-RU"/>
              </w:rPr>
              <w:t>КВр -1.1</w:t>
            </w:r>
          </w:p>
          <w:p>
            <w:pPr>
              <w:pStyle w:val="Normal"/>
              <w:widowControl w:val="false"/>
              <w:ind w:hanging="0"/>
              <w:jc w:val="center"/>
              <w:rPr>
                <w:sz w:val="26"/>
                <w:szCs w:val="26"/>
              </w:rPr>
            </w:pPr>
            <w:r>
              <w:rPr>
                <w:rFonts w:eastAsia="Times New Roman"/>
                <w:sz w:val="26"/>
                <w:szCs w:val="26"/>
                <w:lang w:eastAsia="ru-RU"/>
              </w:rPr>
              <w:t>КВр- 1,1</w:t>
            </w:r>
          </w:p>
        </w:tc>
        <w:tc>
          <w:tcPr>
            <w:tcW w:w="17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2021г.</w:t>
            </w:r>
          </w:p>
          <w:p>
            <w:pPr>
              <w:pStyle w:val="Normal"/>
              <w:widowControl w:val="false"/>
              <w:ind w:hanging="0"/>
              <w:jc w:val="center"/>
              <w:rPr>
                <w:sz w:val="26"/>
                <w:szCs w:val="26"/>
              </w:rPr>
            </w:pPr>
            <w:r>
              <w:rPr>
                <w:rFonts w:eastAsia="Times New Roman"/>
                <w:sz w:val="26"/>
                <w:szCs w:val="26"/>
                <w:lang w:eastAsia="ru-RU"/>
              </w:rPr>
              <w:t>2022 г.</w:t>
            </w:r>
          </w:p>
          <w:p>
            <w:pPr>
              <w:pStyle w:val="Normal"/>
              <w:widowControl w:val="false"/>
              <w:ind w:hanging="0"/>
              <w:jc w:val="center"/>
              <w:rPr>
                <w:sz w:val="26"/>
                <w:szCs w:val="26"/>
              </w:rPr>
            </w:pPr>
            <w:r>
              <w:rPr>
                <w:rFonts w:eastAsia="Times New Roman"/>
                <w:sz w:val="26"/>
                <w:szCs w:val="26"/>
                <w:lang w:eastAsia="ru-RU"/>
              </w:rPr>
              <w:t>2022 г</w:t>
            </w:r>
          </w:p>
        </w:tc>
        <w:tc>
          <w:tcPr>
            <w:tcW w:w="18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6"/>
                <w:szCs w:val="26"/>
                <w:lang w:eastAsia="ru-RU"/>
              </w:rPr>
            </w:pPr>
            <w:r>
              <w:rPr>
                <w:rFonts w:eastAsia="Times New Roman"/>
                <w:sz w:val="26"/>
                <w:szCs w:val="26"/>
                <w:lang w:eastAsia="ru-RU"/>
              </w:rPr>
            </w:r>
          </w:p>
          <w:p>
            <w:pPr>
              <w:pStyle w:val="Normal"/>
              <w:widowControl w:val="false"/>
              <w:ind w:hanging="0"/>
              <w:jc w:val="center"/>
              <w:rPr>
                <w:sz w:val="26"/>
                <w:szCs w:val="26"/>
              </w:rPr>
            </w:pPr>
            <w:r>
              <w:rPr>
                <w:rFonts w:eastAsia="Times New Roman"/>
                <w:sz w:val="26"/>
                <w:szCs w:val="26"/>
                <w:lang w:eastAsia="ru-RU"/>
              </w:rPr>
              <w:t>3,0</w:t>
            </w:r>
          </w:p>
        </w:tc>
        <w:tc>
          <w:tcPr>
            <w:tcW w:w="20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6"/>
                <w:szCs w:val="26"/>
                <w:lang w:eastAsia="ru-RU"/>
              </w:rPr>
            </w:pPr>
            <w:r>
              <w:rPr>
                <w:rFonts w:eastAsia="Times New Roman"/>
                <w:sz w:val="26"/>
                <w:szCs w:val="26"/>
                <w:lang w:eastAsia="ru-RU"/>
              </w:rPr>
            </w:r>
          </w:p>
          <w:p>
            <w:pPr>
              <w:pStyle w:val="Normal"/>
              <w:widowControl w:val="false"/>
              <w:ind w:hanging="0"/>
              <w:jc w:val="center"/>
              <w:rPr>
                <w:sz w:val="26"/>
                <w:szCs w:val="26"/>
              </w:rPr>
            </w:pPr>
            <w:r>
              <w:rPr>
                <w:rFonts w:eastAsia="Times New Roman"/>
                <w:sz w:val="26"/>
                <w:szCs w:val="26"/>
                <w:lang w:eastAsia="ru-RU"/>
              </w:rPr>
              <w:t>0,479</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right"/>
        <w:rPr>
          <w:sz w:val="26"/>
          <w:szCs w:val="26"/>
        </w:rPr>
      </w:pPr>
      <w:r>
        <w:rPr>
          <w:rFonts w:eastAsia="Times New Roman"/>
          <w:sz w:val="26"/>
          <w:szCs w:val="26"/>
          <w:lang w:eastAsia="ru-RU"/>
        </w:rPr>
        <w:t>Таблица 4</w:t>
      </w:r>
    </w:p>
    <w:tbl>
      <w:tblPr>
        <w:tblW w:w="10032" w:type="dxa"/>
        <w:jc w:val="left"/>
        <w:tblInd w:w="0" w:type="dxa"/>
        <w:tblLayout w:type="fixed"/>
        <w:tblCellMar>
          <w:top w:w="0" w:type="dxa"/>
          <w:left w:w="98" w:type="dxa"/>
          <w:bottom w:w="0" w:type="dxa"/>
          <w:right w:w="108" w:type="dxa"/>
        </w:tblCellMar>
        <w:tblLook w:val="04a0"/>
      </w:tblPr>
      <w:tblGrid>
        <w:gridCol w:w="1068"/>
        <w:gridCol w:w="4791"/>
        <w:gridCol w:w="3942"/>
        <w:gridCol w:w="231"/>
      </w:tblGrid>
      <w:tr>
        <w:trPr>
          <w:trHeight w:val="1017" w:hRule="atLeast"/>
        </w:trPr>
        <w:tc>
          <w:tcPr>
            <w:tcW w:w="1068" w:type="dxa"/>
            <w:vMerge w:val="restart"/>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sz w:val="26"/>
                <w:szCs w:val="26"/>
              </w:rPr>
            </w:pPr>
            <w:r>
              <w:rPr>
                <w:rFonts w:eastAsia="Times New Roman"/>
                <w:b/>
                <w:bCs/>
                <w:sz w:val="26"/>
                <w:szCs w:val="26"/>
                <w:lang w:eastAsia="ru-RU"/>
              </w:rPr>
              <w:t xml:space="preserve">№ </w:t>
            </w:r>
            <w:r>
              <w:rPr>
                <w:rFonts w:eastAsia="Times New Roman"/>
                <w:b/>
                <w:bCs/>
                <w:sz w:val="26"/>
                <w:szCs w:val="26"/>
                <w:lang w:eastAsia="ru-RU"/>
              </w:rPr>
              <w:t>ответв      ления</w:t>
            </w:r>
          </w:p>
        </w:tc>
        <w:tc>
          <w:tcPr>
            <w:tcW w:w="4791" w:type="dxa"/>
            <w:vMerge w:val="restart"/>
            <w:tcBorders>
              <w:top w:val="single" w:sz="4" w:space="0" w:color="00000A"/>
              <w:left w:val="single" w:sz="4" w:space="0" w:color="00000A"/>
              <w:bottom w:val="single" w:sz="4" w:space="0" w:color="000001"/>
              <w:right w:val="single" w:sz="4" w:space="0" w:color="00000A"/>
            </w:tcBorders>
            <w:shd w:color="000000" w:fill="FFFFFF" w:val="clear"/>
            <w:vAlign w:val="center"/>
          </w:tcPr>
          <w:p>
            <w:pPr>
              <w:pStyle w:val="Normal"/>
              <w:widowControl w:val="false"/>
              <w:jc w:val="center"/>
              <w:rPr>
                <w:sz w:val="26"/>
                <w:szCs w:val="26"/>
              </w:rPr>
            </w:pPr>
            <w:r>
              <w:rPr>
                <w:rFonts w:eastAsia="Times New Roman"/>
                <w:b/>
                <w:bCs/>
                <w:sz w:val="26"/>
                <w:szCs w:val="26"/>
                <w:lang w:eastAsia="ru-RU"/>
              </w:rPr>
              <w:t>Потребитель, объект</w:t>
            </w:r>
          </w:p>
        </w:tc>
        <w:tc>
          <w:tcPr>
            <w:tcW w:w="4173" w:type="dxa"/>
            <w:gridSpan w:val="2"/>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jc w:val="center"/>
              <w:rPr>
                <w:sz w:val="26"/>
                <w:szCs w:val="26"/>
              </w:rPr>
            </w:pPr>
            <w:r>
              <w:rPr>
                <w:rFonts w:eastAsia="Times New Roman"/>
                <w:b/>
                <w:bCs/>
                <w:sz w:val="26"/>
                <w:szCs w:val="26"/>
                <w:lang w:eastAsia="ru-RU"/>
              </w:rPr>
              <w:t>Расчетная максимальная тепловая нагрузка, Гкал/ч</w:t>
            </w:r>
          </w:p>
        </w:tc>
      </w:tr>
      <w:tr>
        <w:trPr>
          <w:trHeight w:val="408" w:hRule="atLeast"/>
        </w:trPr>
        <w:tc>
          <w:tcPr>
            <w:tcW w:w="1068"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rPr>
                <w:rFonts w:eastAsia="Times New Roman"/>
                <w:b/>
                <w:b/>
                <w:bCs/>
                <w:sz w:val="26"/>
                <w:szCs w:val="26"/>
                <w:lang w:eastAsia="ru-RU"/>
              </w:rPr>
            </w:pPr>
            <w:r>
              <w:rPr>
                <w:rFonts w:eastAsia="Times New Roman"/>
                <w:b/>
                <w:bCs/>
                <w:sz w:val="26"/>
                <w:szCs w:val="26"/>
                <w:lang w:eastAsia="ru-RU"/>
              </w:rPr>
            </w:r>
          </w:p>
        </w:tc>
        <w:tc>
          <w:tcPr>
            <w:tcW w:w="4791" w:type="dxa"/>
            <w:vMerge w:val="continue"/>
            <w:tcBorders>
              <w:top w:val="single" w:sz="4" w:space="0" w:color="00000A"/>
              <w:left w:val="single" w:sz="4" w:space="0" w:color="00000A"/>
              <w:bottom w:val="single" w:sz="4" w:space="0" w:color="000001"/>
              <w:right w:val="single" w:sz="4" w:space="0" w:color="00000A"/>
            </w:tcBorders>
            <w:shd w:color="auto" w:fill="auto" w:val="clear"/>
            <w:vAlign w:val="center"/>
          </w:tcPr>
          <w:p>
            <w:pPr>
              <w:pStyle w:val="Normal"/>
              <w:widowControl w:val="false"/>
              <w:rPr>
                <w:rFonts w:eastAsia="Times New Roman"/>
                <w:b/>
                <w:b/>
                <w:bCs/>
                <w:sz w:val="26"/>
                <w:szCs w:val="26"/>
                <w:lang w:eastAsia="ru-RU"/>
              </w:rPr>
            </w:pPr>
            <w:r>
              <w:rPr>
                <w:rFonts w:eastAsia="Times New Roman"/>
                <w:b/>
                <w:bCs/>
                <w:sz w:val="26"/>
                <w:szCs w:val="26"/>
                <w:lang w:eastAsia="ru-RU"/>
              </w:rPr>
            </w:r>
          </w:p>
        </w:tc>
        <w:tc>
          <w:tcPr>
            <w:tcW w:w="4173" w:type="dxa"/>
            <w:gridSpan w:val="2"/>
            <w:vMerge w:val="restart"/>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jc w:val="center"/>
              <w:rPr>
                <w:sz w:val="26"/>
                <w:szCs w:val="26"/>
              </w:rPr>
            </w:pPr>
            <w:r>
              <w:rPr>
                <w:rFonts w:eastAsia="Times New Roman"/>
                <w:b/>
                <w:bCs/>
                <w:sz w:val="26"/>
                <w:szCs w:val="26"/>
                <w:lang w:eastAsia="ru-RU"/>
              </w:rPr>
              <w:t>Qmac от</w:t>
            </w:r>
          </w:p>
        </w:tc>
      </w:tr>
      <w:tr>
        <w:trPr>
          <w:trHeight w:val="299" w:hRule="atLeast"/>
        </w:trPr>
        <w:tc>
          <w:tcPr>
            <w:tcW w:w="1068"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rPr>
                <w:rFonts w:eastAsia="Times New Roman"/>
                <w:b/>
                <w:b/>
                <w:bCs/>
                <w:sz w:val="26"/>
                <w:szCs w:val="26"/>
                <w:lang w:eastAsia="ru-RU"/>
              </w:rPr>
            </w:pPr>
            <w:r>
              <w:rPr>
                <w:rFonts w:eastAsia="Times New Roman"/>
                <w:b/>
                <w:bCs/>
                <w:sz w:val="26"/>
                <w:szCs w:val="26"/>
                <w:lang w:eastAsia="ru-RU"/>
              </w:rPr>
            </w:r>
          </w:p>
        </w:tc>
        <w:tc>
          <w:tcPr>
            <w:tcW w:w="4791" w:type="dxa"/>
            <w:vMerge w:val="continue"/>
            <w:tcBorders>
              <w:top w:val="single" w:sz="4" w:space="0" w:color="00000A"/>
              <w:left w:val="single" w:sz="4" w:space="0" w:color="00000A"/>
              <w:bottom w:val="single" w:sz="4" w:space="0" w:color="000001"/>
              <w:right w:val="single" w:sz="4" w:space="0" w:color="00000A"/>
            </w:tcBorders>
            <w:shd w:color="auto" w:fill="auto" w:val="clear"/>
            <w:vAlign w:val="center"/>
          </w:tcPr>
          <w:p>
            <w:pPr>
              <w:pStyle w:val="Normal"/>
              <w:widowControl w:val="false"/>
              <w:rPr>
                <w:rFonts w:eastAsia="Times New Roman"/>
                <w:b/>
                <w:b/>
                <w:bCs/>
                <w:sz w:val="26"/>
                <w:szCs w:val="26"/>
                <w:lang w:eastAsia="ru-RU"/>
              </w:rPr>
            </w:pPr>
            <w:r>
              <w:rPr>
                <w:rFonts w:eastAsia="Times New Roman"/>
                <w:b/>
                <w:bCs/>
                <w:sz w:val="26"/>
                <w:szCs w:val="26"/>
                <w:lang w:eastAsia="ru-RU"/>
              </w:rPr>
            </w:r>
          </w:p>
        </w:tc>
        <w:tc>
          <w:tcPr>
            <w:tcW w:w="4173"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rPr>
                <w:rFonts w:eastAsia="Times New Roman"/>
                <w:b/>
                <w:b/>
                <w:bCs/>
                <w:sz w:val="26"/>
                <w:szCs w:val="26"/>
                <w:lang w:eastAsia="ru-RU"/>
              </w:rPr>
            </w:pPr>
            <w:r>
              <w:rPr>
                <w:rFonts w:eastAsia="Times New Roman"/>
                <w:b/>
                <w:bCs/>
                <w:sz w:val="26"/>
                <w:szCs w:val="26"/>
                <w:lang w:eastAsia="ru-RU"/>
              </w:rPr>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jc w:val="center"/>
              <w:rPr>
                <w:sz w:val="26"/>
                <w:szCs w:val="26"/>
              </w:rPr>
            </w:pPr>
            <w:r>
              <w:rPr>
                <w:rFonts w:eastAsia="Times New Roman"/>
                <w:b/>
                <w:bCs/>
                <w:sz w:val="26"/>
                <w:szCs w:val="26"/>
                <w:lang w:eastAsia="ru-RU"/>
              </w:rPr>
              <w:t>1</w:t>
            </w:r>
          </w:p>
        </w:tc>
        <w:tc>
          <w:tcPr>
            <w:tcW w:w="479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jc w:val="center"/>
              <w:rPr>
                <w:sz w:val="26"/>
                <w:szCs w:val="26"/>
              </w:rPr>
            </w:pPr>
            <w:r>
              <w:rPr>
                <w:rFonts w:eastAsia="Times New Roman"/>
                <w:b/>
                <w:bCs/>
                <w:sz w:val="26"/>
                <w:szCs w:val="26"/>
                <w:lang w:eastAsia="ru-RU"/>
              </w:rPr>
              <w:t>2</w:t>
            </w:r>
          </w:p>
        </w:tc>
        <w:tc>
          <w:tcPr>
            <w:tcW w:w="4173" w:type="dxa"/>
            <w:gridSpan w:val="2"/>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jc w:val="center"/>
              <w:rPr>
                <w:sz w:val="26"/>
                <w:szCs w:val="26"/>
              </w:rPr>
            </w:pPr>
            <w:r>
              <w:rPr>
                <w:rFonts w:eastAsia="Times New Roman"/>
                <w:b/>
                <w:bCs/>
                <w:sz w:val="26"/>
                <w:szCs w:val="26"/>
                <w:lang w:eastAsia="ru-RU"/>
              </w:rPr>
              <w:t>3</w:t>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color w:val="000000"/>
                <w:sz w:val="26"/>
                <w:szCs w:val="26"/>
                <w:lang w:eastAsia="ru-RU"/>
              </w:rPr>
              <w:t>1</w:t>
            </w:r>
          </w:p>
        </w:tc>
        <w:tc>
          <w:tcPr>
            <w:tcW w:w="47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rPr>
                <w:sz w:val="26"/>
                <w:szCs w:val="26"/>
              </w:rPr>
            </w:pPr>
            <w:r>
              <w:rPr>
                <w:rFonts w:eastAsia="Times New Roman" w:cs="Calibri" w:ascii="Cambria" w:hAnsi="Cambria"/>
                <w:sz w:val="26"/>
                <w:szCs w:val="26"/>
                <w:lang w:eastAsia="ru-RU"/>
              </w:rPr>
              <w:t>МБОУ Доможаковская СОШ</w:t>
            </w:r>
          </w:p>
        </w:tc>
        <w:tc>
          <w:tcPr>
            <w:tcW w:w="4173"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sz w:val="26"/>
                <w:szCs w:val="26"/>
                <w:lang w:eastAsia="ru-RU"/>
              </w:rPr>
              <w:t>0,142</w:t>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color w:val="000000"/>
                <w:sz w:val="26"/>
                <w:szCs w:val="26"/>
                <w:lang w:eastAsia="ru-RU"/>
              </w:rPr>
              <w:t>2</w:t>
            </w:r>
          </w:p>
        </w:tc>
        <w:tc>
          <w:tcPr>
            <w:tcW w:w="47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rPr>
                <w:sz w:val="26"/>
                <w:szCs w:val="26"/>
              </w:rPr>
            </w:pPr>
            <w:r>
              <w:rPr>
                <w:rFonts w:eastAsia="Times New Roman" w:cs="Calibri" w:ascii="Cambria" w:hAnsi="Cambria"/>
                <w:sz w:val="26"/>
                <w:szCs w:val="26"/>
                <w:lang w:eastAsia="ru-RU"/>
              </w:rPr>
              <w:t>МБОУ "Тополек" Доможаково</w:t>
            </w:r>
          </w:p>
        </w:tc>
        <w:tc>
          <w:tcPr>
            <w:tcW w:w="4173"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sz w:val="26"/>
                <w:szCs w:val="26"/>
                <w:lang w:eastAsia="ru-RU"/>
              </w:rPr>
              <w:t>0,035</w:t>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color w:val="000000"/>
                <w:sz w:val="26"/>
                <w:szCs w:val="26"/>
                <w:lang w:eastAsia="ru-RU"/>
              </w:rPr>
              <w:t>3</w:t>
            </w:r>
          </w:p>
        </w:tc>
        <w:tc>
          <w:tcPr>
            <w:tcW w:w="47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rPr>
                <w:sz w:val="26"/>
                <w:szCs w:val="26"/>
              </w:rPr>
            </w:pPr>
            <w:r>
              <w:rPr>
                <w:rFonts w:eastAsia="Times New Roman" w:cs="Calibri" w:ascii="Cambria" w:hAnsi="Cambria"/>
                <w:sz w:val="26"/>
                <w:szCs w:val="26"/>
                <w:lang w:eastAsia="ru-RU"/>
              </w:rPr>
              <w:t>МКУ Доможаковский КЦД</w:t>
            </w:r>
          </w:p>
        </w:tc>
        <w:tc>
          <w:tcPr>
            <w:tcW w:w="4173"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sz w:val="26"/>
                <w:szCs w:val="26"/>
                <w:lang w:eastAsia="ru-RU"/>
              </w:rPr>
              <w:t>0,015</w:t>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color w:val="000000"/>
                <w:sz w:val="26"/>
                <w:szCs w:val="26"/>
                <w:lang w:eastAsia="ru-RU"/>
              </w:rPr>
              <w:t>4</w:t>
            </w:r>
          </w:p>
        </w:tc>
        <w:tc>
          <w:tcPr>
            <w:tcW w:w="47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rPr>
                <w:sz w:val="26"/>
                <w:szCs w:val="26"/>
              </w:rPr>
            </w:pPr>
            <w:r>
              <w:rPr>
                <w:rFonts w:eastAsia="Times New Roman" w:cs="Calibri" w:ascii="Cambria" w:hAnsi="Cambria"/>
                <w:sz w:val="26"/>
                <w:szCs w:val="26"/>
                <w:lang w:eastAsia="ru-RU"/>
              </w:rPr>
              <w:t>Администрация аал Доможаков</w:t>
            </w:r>
          </w:p>
        </w:tc>
        <w:tc>
          <w:tcPr>
            <w:tcW w:w="4173"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sz w:val="26"/>
                <w:szCs w:val="26"/>
                <w:lang w:eastAsia="ru-RU"/>
              </w:rPr>
              <w:t>0,040</w:t>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color w:val="000000"/>
                <w:sz w:val="26"/>
                <w:szCs w:val="26"/>
                <w:lang w:eastAsia="ru-RU"/>
              </w:rPr>
              <w:t>5</w:t>
            </w:r>
          </w:p>
        </w:tc>
        <w:tc>
          <w:tcPr>
            <w:tcW w:w="47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rPr>
                <w:sz w:val="26"/>
                <w:szCs w:val="26"/>
              </w:rPr>
            </w:pPr>
            <w:r>
              <w:rPr>
                <w:rFonts w:eastAsia="Times New Roman" w:cs="Calibri" w:ascii="Cambria" w:hAnsi="Cambria"/>
                <w:sz w:val="26"/>
                <w:szCs w:val="26"/>
                <w:lang w:eastAsia="ru-RU"/>
              </w:rPr>
              <w:t>ФАП аал Доможаков</w:t>
            </w:r>
          </w:p>
        </w:tc>
        <w:tc>
          <w:tcPr>
            <w:tcW w:w="4173"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sz w:val="26"/>
                <w:szCs w:val="26"/>
                <w:lang w:eastAsia="ru-RU"/>
              </w:rPr>
              <w:t>0,016</w:t>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color w:val="000000"/>
                <w:sz w:val="26"/>
                <w:szCs w:val="26"/>
                <w:lang w:eastAsia="ru-RU"/>
              </w:rPr>
              <w:t>6</w:t>
            </w:r>
          </w:p>
        </w:tc>
        <w:tc>
          <w:tcPr>
            <w:tcW w:w="47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rPr>
                <w:sz w:val="26"/>
                <w:szCs w:val="26"/>
              </w:rPr>
            </w:pPr>
            <w:r>
              <w:rPr>
                <w:rFonts w:eastAsia="Times New Roman" w:cs="Calibri" w:ascii="Cambria" w:hAnsi="Cambria"/>
                <w:sz w:val="26"/>
                <w:szCs w:val="26"/>
                <w:lang w:eastAsia="ru-RU"/>
              </w:rPr>
              <w:t>Спорткомплекс «Юность»</w:t>
            </w:r>
          </w:p>
        </w:tc>
        <w:tc>
          <w:tcPr>
            <w:tcW w:w="4173"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sz w:val="26"/>
                <w:szCs w:val="26"/>
                <w:lang w:eastAsia="ru-RU"/>
              </w:rPr>
              <w:t>0,142</w:t>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color w:val="000000"/>
                <w:sz w:val="26"/>
                <w:szCs w:val="26"/>
                <w:lang w:eastAsia="ru-RU"/>
              </w:rPr>
              <w:t>7</w:t>
            </w:r>
          </w:p>
        </w:tc>
        <w:tc>
          <w:tcPr>
            <w:tcW w:w="47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rPr>
                <w:sz w:val="26"/>
                <w:szCs w:val="26"/>
              </w:rPr>
            </w:pPr>
            <w:r>
              <w:rPr>
                <w:rFonts w:eastAsia="Times New Roman" w:cs="Calibri" w:ascii="Cambria" w:hAnsi="Cambria"/>
                <w:sz w:val="26"/>
                <w:szCs w:val="26"/>
                <w:lang w:eastAsia="ru-RU"/>
              </w:rPr>
              <w:t>Библиотека</w:t>
            </w:r>
          </w:p>
        </w:tc>
        <w:tc>
          <w:tcPr>
            <w:tcW w:w="4173"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sz w:val="26"/>
                <w:szCs w:val="26"/>
                <w:lang w:eastAsia="ru-RU"/>
              </w:rPr>
              <w:t>0,004</w:t>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color w:val="000000"/>
                <w:sz w:val="26"/>
                <w:szCs w:val="26"/>
                <w:lang w:eastAsia="ru-RU"/>
              </w:rPr>
              <w:t>8</w:t>
            </w:r>
          </w:p>
        </w:tc>
        <w:tc>
          <w:tcPr>
            <w:tcW w:w="47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rPr>
                <w:sz w:val="26"/>
                <w:szCs w:val="26"/>
              </w:rPr>
            </w:pPr>
            <w:r>
              <w:rPr>
                <w:rFonts w:eastAsia="Times New Roman" w:cs="Calibri" w:ascii="Cambria" w:hAnsi="Cambria"/>
                <w:sz w:val="26"/>
                <w:szCs w:val="26"/>
                <w:lang w:eastAsia="ru-RU"/>
              </w:rPr>
              <w:t>Гараж</w:t>
            </w:r>
          </w:p>
        </w:tc>
        <w:tc>
          <w:tcPr>
            <w:tcW w:w="4173"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sz w:val="26"/>
                <w:szCs w:val="26"/>
                <w:lang w:eastAsia="ru-RU"/>
              </w:rPr>
              <w:t>0,087</w:t>
            </w:r>
          </w:p>
        </w:tc>
      </w:tr>
      <w:tr>
        <w:trPr>
          <w:trHeight w:val="255" w:hRule="atLeast"/>
        </w:trPr>
        <w:tc>
          <w:tcPr>
            <w:tcW w:w="5859"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b/>
                <w:bCs/>
                <w:color w:val="000000"/>
                <w:sz w:val="26"/>
                <w:szCs w:val="26"/>
                <w:lang w:eastAsia="ru-RU"/>
              </w:rPr>
              <w:t>ИТОГО</w:t>
            </w:r>
          </w:p>
        </w:tc>
        <w:tc>
          <w:tcPr>
            <w:tcW w:w="394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rFonts w:eastAsia="Times New Roman"/>
                <w:b/>
                <w:bCs/>
                <w:color w:val="000000"/>
                <w:sz w:val="26"/>
                <w:szCs w:val="26"/>
                <w:lang w:eastAsia="ru-RU"/>
              </w:rPr>
              <w:t>0,479</w:t>
            </w:r>
          </w:p>
        </w:tc>
        <w:tc>
          <w:tcPr>
            <w:tcW w:w="231"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sz w:val="26"/>
                <w:szCs w:val="26"/>
              </w:rPr>
            </w:pPr>
            <w:r>
              <w:rPr>
                <w:sz w:val="26"/>
                <w:szCs w:val="26"/>
              </w:rPr>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1.2. 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center"/>
        <w:rPr>
          <w:sz w:val="26"/>
          <w:szCs w:val="26"/>
        </w:rPr>
      </w:pPr>
      <w:r>
        <w:rPr>
          <w:rFonts w:eastAsia="Times New Roman"/>
          <w:sz w:val="26"/>
          <w:szCs w:val="26"/>
          <w:lang w:eastAsia="ru-RU"/>
        </w:rPr>
        <w:t>Годовые объемы потребления тепловой энергии (мощности), теплоносителя</w:t>
      </w:r>
    </w:p>
    <w:p>
      <w:pPr>
        <w:pStyle w:val="Normal"/>
        <w:ind w:hanging="0"/>
        <w:jc w:val="right"/>
        <w:rPr>
          <w:sz w:val="26"/>
          <w:szCs w:val="26"/>
        </w:rPr>
      </w:pPr>
      <w:r>
        <w:rPr>
          <w:sz w:val="26"/>
          <w:szCs w:val="26"/>
        </w:rPr>
        <w:t>Таблица 5</w:t>
      </w:r>
    </w:p>
    <w:tbl>
      <w:tblPr>
        <w:tblpPr w:bottomFromText="0" w:horzAnchor="text" w:leftFromText="180" w:rightFromText="180" w:tblpX="0" w:tblpY="1" w:topFromText="0" w:vertAnchor="text"/>
        <w:tblW w:w="10062" w:type="dxa"/>
        <w:jc w:val="left"/>
        <w:tblInd w:w="73" w:type="dxa"/>
        <w:tblLayout w:type="fixed"/>
        <w:tblCellMar>
          <w:top w:w="0" w:type="dxa"/>
          <w:left w:w="73" w:type="dxa"/>
          <w:bottom w:w="0" w:type="dxa"/>
          <w:right w:w="108" w:type="dxa"/>
        </w:tblCellMar>
        <w:tblLook w:val="0000"/>
      </w:tblPr>
      <w:tblGrid>
        <w:gridCol w:w="4625"/>
        <w:gridCol w:w="1415"/>
        <w:gridCol w:w="1152"/>
        <w:gridCol w:w="12"/>
        <w:gridCol w:w="1458"/>
        <w:gridCol w:w="1178"/>
        <w:gridCol w:w="221"/>
      </w:tblGrid>
      <w:tr>
        <w:trPr>
          <w:trHeight w:val="108" w:hRule="atLeast"/>
        </w:trPr>
        <w:tc>
          <w:tcPr>
            <w:tcW w:w="4625"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tc>
        <w:tc>
          <w:tcPr>
            <w:tcW w:w="5436" w:type="dxa"/>
            <w:gridSpan w:val="6"/>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Годовое потребление</w:t>
            </w:r>
          </w:p>
        </w:tc>
      </w:tr>
      <w:tr>
        <w:trPr>
          <w:trHeight w:val="108" w:hRule="atLeast"/>
        </w:trPr>
        <w:tc>
          <w:tcPr>
            <w:tcW w:w="4625"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6"/>
                <w:szCs w:val="26"/>
                <w:lang w:eastAsia="ru-RU"/>
              </w:rPr>
            </w:pPr>
            <w:r>
              <w:rPr>
                <w:rFonts w:eastAsia="Times New Roman"/>
                <w:sz w:val="26"/>
                <w:szCs w:val="26"/>
                <w:lang w:eastAsia="ru-RU"/>
              </w:rPr>
            </w:r>
          </w:p>
        </w:tc>
        <w:tc>
          <w:tcPr>
            <w:tcW w:w="2579"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Тепловая энергия, Гкал</w:t>
            </w:r>
          </w:p>
        </w:tc>
        <w:tc>
          <w:tcPr>
            <w:tcW w:w="2857"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Теплоноситель, м</w:t>
            </w:r>
            <w:r>
              <w:rPr>
                <w:rFonts w:eastAsia="Times New Roman"/>
                <w:sz w:val="26"/>
                <w:szCs w:val="26"/>
                <w:vertAlign w:val="superscript"/>
                <w:lang w:eastAsia="ru-RU"/>
              </w:rPr>
              <w:t>3</w:t>
            </w:r>
          </w:p>
        </w:tc>
      </w:tr>
      <w:tr>
        <w:trPr>
          <w:trHeight w:val="108" w:hRule="atLeast"/>
        </w:trPr>
        <w:tc>
          <w:tcPr>
            <w:tcW w:w="4625"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6"/>
                <w:szCs w:val="26"/>
                <w:lang w:eastAsia="ru-RU"/>
              </w:rPr>
            </w:pPr>
            <w:r>
              <w:rPr>
                <w:rFonts w:eastAsia="Times New Roman"/>
                <w:sz w:val="26"/>
                <w:szCs w:val="26"/>
                <w:lang w:eastAsia="ru-RU"/>
              </w:rPr>
            </w:r>
          </w:p>
        </w:tc>
        <w:tc>
          <w:tcPr>
            <w:tcW w:w="14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Отопление</w:t>
            </w:r>
          </w:p>
        </w:tc>
        <w:tc>
          <w:tcPr>
            <w:tcW w:w="1164"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ГВС</w:t>
            </w:r>
          </w:p>
        </w:tc>
        <w:tc>
          <w:tcPr>
            <w:tcW w:w="145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отопление</w:t>
            </w:r>
          </w:p>
        </w:tc>
        <w:tc>
          <w:tcPr>
            <w:tcW w:w="1399"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ГВС</w:t>
            </w:r>
          </w:p>
        </w:tc>
      </w:tr>
      <w:tr>
        <w:trPr>
          <w:trHeight w:val="108" w:hRule="atLeast"/>
        </w:trPr>
        <w:tc>
          <w:tcPr>
            <w:tcW w:w="462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Котельная, пер.Школьный 1а</w:t>
            </w:r>
          </w:p>
        </w:tc>
        <w:tc>
          <w:tcPr>
            <w:tcW w:w="14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color w:val="000000"/>
                <w:sz w:val="26"/>
                <w:szCs w:val="26"/>
                <w:lang w:eastAsia="ru-RU"/>
              </w:rPr>
              <w:t>1088,588</w:t>
            </w:r>
          </w:p>
        </w:tc>
        <w:tc>
          <w:tcPr>
            <w:tcW w:w="11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0</w:t>
            </w:r>
          </w:p>
        </w:tc>
        <w:tc>
          <w:tcPr>
            <w:tcW w:w="1470"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447</w:t>
            </w:r>
            <w:r>
              <w:rPr>
                <w:rFonts w:eastAsia="Times New Roman"/>
                <w:sz w:val="26"/>
                <w:szCs w:val="26"/>
                <w:lang w:val="en-US" w:eastAsia="ru-RU"/>
              </w:rPr>
              <w:t>,</w:t>
            </w:r>
            <w:r>
              <w:rPr>
                <w:rFonts w:eastAsia="Times New Roman"/>
                <w:sz w:val="26"/>
                <w:szCs w:val="26"/>
                <w:lang w:eastAsia="ru-RU"/>
              </w:rPr>
              <w:t>19</w:t>
            </w:r>
          </w:p>
        </w:tc>
        <w:tc>
          <w:tcPr>
            <w:tcW w:w="11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0</w:t>
            </w:r>
          </w:p>
        </w:tc>
        <w:tc>
          <w:tcPr>
            <w:tcW w:w="22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6"/>
                <w:szCs w:val="26"/>
              </w:rPr>
            </w:pPr>
            <w:r>
              <w:rPr>
                <w:sz w:val="26"/>
                <w:szCs w:val="26"/>
              </w:rPr>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Генеральным планом предусмотрено централизованное теплоснабжение от котельной в сочетании с автономным в зависимости от расположения потребителя и их теплопотребления.</w:t>
      </w:r>
    </w:p>
    <w:p>
      <w:pPr>
        <w:pStyle w:val="Normal"/>
        <w:ind w:hanging="0"/>
        <w:jc w:val="both"/>
        <w:rPr>
          <w:sz w:val="26"/>
          <w:szCs w:val="26"/>
        </w:rPr>
      </w:pPr>
      <w:r>
        <w:rPr>
          <w:rFonts w:eastAsia="Times New Roman"/>
          <w:sz w:val="26"/>
          <w:szCs w:val="26"/>
          <w:lang w:eastAsia="ru-RU"/>
        </w:rPr>
        <w:t xml:space="preserve">Схема теплоснабжения </w:t>
      </w:r>
      <w:r>
        <w:rPr>
          <w:sz w:val="26"/>
          <w:szCs w:val="26"/>
        </w:rPr>
        <w:t>Доможаковского</w:t>
      </w:r>
      <w:r>
        <w:rPr>
          <w:rFonts w:eastAsia="Times New Roman"/>
          <w:sz w:val="26"/>
          <w:szCs w:val="26"/>
          <w:lang w:eastAsia="ru-RU"/>
        </w:rPr>
        <w:t xml:space="preserve"> сельсовета на перспективу сохраняется существующая.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1.3.Потребление тепловой энергии (мощности) и теплоносителя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(мощности), теплоносителя производственными объектами.</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Теплоснабжение производственных предприятий осуществляется от автономных источников, размещенных на территориях предприятий.</w:t>
      </w:r>
    </w:p>
    <w:p>
      <w:pPr>
        <w:pStyle w:val="Normal"/>
        <w:ind w:firstLine="850"/>
        <w:jc w:val="both"/>
        <w:rPr>
          <w:sz w:val="26"/>
          <w:szCs w:val="26"/>
        </w:rPr>
      </w:pPr>
      <w:r>
        <w:rPr>
          <w:rFonts w:eastAsia="Times New Roman"/>
          <w:sz w:val="26"/>
          <w:szCs w:val="26"/>
          <w:lang w:eastAsia="ru-RU"/>
        </w:rPr>
        <w:t xml:space="preserve">Учитывая, что Генеральным планом </w:t>
      </w:r>
      <w:r>
        <w:rPr>
          <w:sz w:val="26"/>
          <w:szCs w:val="26"/>
        </w:rPr>
        <w:t>Доможаковского</w:t>
      </w:r>
      <w:r>
        <w:rPr>
          <w:rFonts w:eastAsia="Times New Roman"/>
          <w:sz w:val="26"/>
          <w:szCs w:val="26"/>
          <w:lang w:eastAsia="ru-RU"/>
        </w:rPr>
        <w:t xml:space="preserve"> сельсовета не предусмотрено изменение схемы теплоснабжения поселения, теплоснабжение перспективных объектов предлагается осуществить от автономных источников. </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b/>
          <w:sz w:val="26"/>
          <w:szCs w:val="26"/>
          <w:lang w:eastAsia="ru-RU"/>
        </w:rPr>
        <w:tab/>
        <w:t>Раздел 2.Перспективные балансы тепловой мощности источников тепловой энергии и тепловой нагрузки потребителей.</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sz w:val="26"/>
          <w:szCs w:val="26"/>
          <w:lang w:eastAsia="ru-RU"/>
        </w:rPr>
        <w:tab/>
        <w:t>2.1.Радиус эффективного теплоснабжения.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 xml:space="preserve">Среди основных мероприятий по энергосбережению в системах теплоснабжения можно выделить оптимизацию систем теплоснабжения в поселениях с учетом эффективного радиуса теплоснабжения. </w:t>
      </w:r>
    </w:p>
    <w:p>
      <w:pPr>
        <w:pStyle w:val="Normal"/>
        <w:ind w:firstLine="850"/>
        <w:jc w:val="both"/>
        <w:rPr>
          <w:sz w:val="26"/>
          <w:szCs w:val="26"/>
        </w:rPr>
      </w:pPr>
      <w:r>
        <w:rPr>
          <w:rFonts w:eastAsia="Times New Roman"/>
          <w:sz w:val="26"/>
          <w:szCs w:val="26"/>
          <w:lang w:eastAsia="ru-RU"/>
        </w:rPr>
        <w:t>Передача тепловой энергии на большие расстояния является экономически неэффективной.</w:t>
      </w:r>
    </w:p>
    <w:p>
      <w:pPr>
        <w:pStyle w:val="Normal"/>
        <w:ind w:firstLine="850"/>
        <w:jc w:val="both"/>
        <w:rPr>
          <w:sz w:val="26"/>
          <w:szCs w:val="26"/>
        </w:rPr>
      </w:pPr>
      <w:r>
        <w:rPr>
          <w:rFonts w:eastAsia="Times New Roman"/>
          <w:sz w:val="26"/>
          <w:szCs w:val="26"/>
          <w:lang w:eastAsia="ru-RU"/>
        </w:rPr>
        <w:t>Радиус эффективного теплоснабжения позволяет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определяемой для зоны действия каждого источника тепловой энергии.</w:t>
      </w:r>
    </w:p>
    <w:p>
      <w:pPr>
        <w:pStyle w:val="Normal"/>
        <w:ind w:firstLine="850"/>
        <w:jc w:val="both"/>
        <w:rPr>
          <w:sz w:val="26"/>
          <w:szCs w:val="26"/>
        </w:rPr>
      </w:pPr>
      <w:r>
        <w:rPr>
          <w:rFonts w:eastAsia="Times New Roman"/>
          <w:sz w:val="26"/>
          <w:szCs w:val="26"/>
          <w:lang w:eastAsia="ru-RU"/>
        </w:rP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2.2. Описание существующих и перспективных зон действия систем теплоснабжения, источников тепловой энергии.</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right"/>
        <w:rPr>
          <w:sz w:val="26"/>
          <w:szCs w:val="26"/>
        </w:rPr>
      </w:pPr>
      <w:r>
        <w:rPr>
          <w:rFonts w:eastAsia="Times New Roman"/>
          <w:sz w:val="26"/>
          <w:szCs w:val="26"/>
          <w:lang w:eastAsia="ru-RU"/>
        </w:rPr>
        <w:t>Описание существующих зон действия систем теплоснабжения, источников тепловой энергии.                 Таблица 6</w:t>
      </w:r>
    </w:p>
    <w:tbl>
      <w:tblPr>
        <w:tblW w:w="10090" w:type="dxa"/>
        <w:jc w:val="left"/>
        <w:tblInd w:w="75" w:type="dxa"/>
        <w:tblLayout w:type="fixed"/>
        <w:tblCellMar>
          <w:top w:w="0" w:type="dxa"/>
          <w:left w:w="103" w:type="dxa"/>
          <w:bottom w:w="0" w:type="dxa"/>
          <w:right w:w="108" w:type="dxa"/>
        </w:tblCellMar>
        <w:tblLook w:val="04a0"/>
      </w:tblPr>
      <w:tblGrid>
        <w:gridCol w:w="10090"/>
      </w:tblGrid>
      <w:tr>
        <w:trPr/>
        <w:tc>
          <w:tcPr>
            <w:tcW w:w="1009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Максимальное удаление точки подключения потребителей от источника тепловой энергии</w:t>
            </w:r>
          </w:p>
        </w:tc>
      </w:tr>
      <w:tr>
        <w:trPr/>
        <w:tc>
          <w:tcPr>
            <w:tcW w:w="1009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i/>
                <w:sz w:val="26"/>
                <w:szCs w:val="26"/>
                <w:lang w:eastAsia="ru-RU"/>
              </w:rPr>
              <w:t>Котельная</w:t>
            </w:r>
          </w:p>
        </w:tc>
      </w:tr>
      <w:tr>
        <w:trPr/>
        <w:tc>
          <w:tcPr>
            <w:tcW w:w="1009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Д. сад «Тополек»</w:t>
            </w:r>
          </w:p>
          <w:p>
            <w:pPr>
              <w:pStyle w:val="Normal"/>
              <w:widowControl w:val="false"/>
              <w:ind w:hanging="0"/>
              <w:jc w:val="center"/>
              <w:rPr>
                <w:sz w:val="26"/>
                <w:szCs w:val="26"/>
              </w:rPr>
            </w:pPr>
            <w:r>
              <w:rPr>
                <w:rFonts w:eastAsia="Times New Roman"/>
                <w:sz w:val="26"/>
                <w:szCs w:val="26"/>
                <w:lang w:eastAsia="ru-RU"/>
              </w:rPr>
              <w:t>496 м</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center"/>
        <w:rPr>
          <w:sz w:val="26"/>
          <w:szCs w:val="26"/>
        </w:rPr>
      </w:pPr>
      <w:r>
        <w:rPr>
          <w:rFonts w:eastAsia="Times New Roman"/>
          <w:sz w:val="26"/>
          <w:szCs w:val="26"/>
          <w:lang w:eastAsia="ru-RU"/>
        </w:rPr>
        <w:t>Существующие значения установленной тепловой мощности основного оборудования источников тепловой энергии (в разрезе котельных).</w:t>
        <w:tab/>
      </w:r>
    </w:p>
    <w:p>
      <w:pPr>
        <w:pStyle w:val="Normal"/>
        <w:ind w:hanging="0"/>
        <w:jc w:val="right"/>
        <w:rPr>
          <w:sz w:val="26"/>
          <w:szCs w:val="26"/>
        </w:rPr>
      </w:pPr>
      <w:r>
        <w:rPr>
          <w:sz w:val="26"/>
          <w:szCs w:val="26"/>
        </w:rPr>
        <w:t>Таблица 7</w:t>
      </w:r>
    </w:p>
    <w:tbl>
      <w:tblPr>
        <w:tblW w:w="10060" w:type="dxa"/>
        <w:jc w:val="left"/>
        <w:tblInd w:w="105" w:type="dxa"/>
        <w:tblLayout w:type="fixed"/>
        <w:tblCellMar>
          <w:top w:w="0" w:type="dxa"/>
          <w:left w:w="103" w:type="dxa"/>
          <w:bottom w:w="0" w:type="dxa"/>
          <w:right w:w="108" w:type="dxa"/>
        </w:tblCellMar>
        <w:tblLook w:val="04a0"/>
      </w:tblPr>
      <w:tblGrid>
        <w:gridCol w:w="5969"/>
        <w:gridCol w:w="4090"/>
      </w:tblGrid>
      <w:tr>
        <w:trPr/>
        <w:tc>
          <w:tcPr>
            <w:tcW w:w="596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tc>
        <w:tc>
          <w:tcPr>
            <w:tcW w:w="409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Установленная мощность, Гкал/час</w:t>
            </w:r>
          </w:p>
        </w:tc>
      </w:tr>
      <w:tr>
        <w:trPr/>
        <w:tc>
          <w:tcPr>
            <w:tcW w:w="596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sz w:val="26"/>
                <w:szCs w:val="26"/>
              </w:rPr>
            </w:pPr>
            <w:r>
              <w:rPr>
                <w:rFonts w:eastAsia="Times New Roman"/>
                <w:sz w:val="26"/>
                <w:szCs w:val="26"/>
                <w:lang w:eastAsia="ru-RU"/>
              </w:rPr>
              <w:t>Котельная пер. Школьный 1а</w:t>
            </w:r>
          </w:p>
        </w:tc>
        <w:tc>
          <w:tcPr>
            <w:tcW w:w="409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3,0</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Модернизация системы теплоснабжения Доможаковского сельсовета не предусматривает изменения схемы теплоснабжения поселения.</w:t>
      </w:r>
    </w:p>
    <w:p>
      <w:pPr>
        <w:pStyle w:val="Normal"/>
        <w:ind w:firstLine="850"/>
        <w:jc w:val="both"/>
        <w:rPr>
          <w:sz w:val="26"/>
          <w:szCs w:val="26"/>
        </w:rPr>
      </w:pPr>
      <w:r>
        <w:rPr>
          <w:rFonts w:eastAsia="Times New Roman"/>
          <w:sz w:val="26"/>
          <w:szCs w:val="26"/>
          <w:lang w:eastAsia="ru-RU"/>
        </w:rPr>
        <w:t>Генеральным планом предлагается застройка индивидуальными жилыми домами. Застройщики индивидуального жилищного фонда используют автономные источники теплоснабжения. В связи с этим потребностей в строительстве новых тепловых сетей, с целью обеспечения приростов тепловой нагрузки в существующих зонах действия источников теплоснабжения, приросте тепловой нагрузки для целей отопления нет.</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2.3. Описание существующих и перспективных зон действия индивидуальных источников тепловой энергии.</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 xml:space="preserve">Индивидуальные источники тепловой энергии (печное отопление) служат для теплоснабжения жилищного фонда, который составляет на 01.01.2025 года </w:t>
      </w:r>
      <w:r>
        <w:rPr>
          <w:rFonts w:eastAsia="Times New Roman"/>
          <w:b/>
          <w:sz w:val="26"/>
          <w:szCs w:val="26"/>
          <w:lang w:eastAsia="ru-RU"/>
        </w:rPr>
        <w:t>31850,0</w:t>
      </w:r>
      <w:r>
        <w:rPr>
          <w:rFonts w:eastAsia="Times New Roman"/>
          <w:sz w:val="26"/>
          <w:szCs w:val="26"/>
          <w:lang w:eastAsia="ru-RU"/>
        </w:rPr>
        <w:t xml:space="preserve">   кв. м. </w:t>
      </w:r>
    </w:p>
    <w:p>
      <w:pPr>
        <w:pStyle w:val="Normal"/>
        <w:ind w:firstLine="850"/>
        <w:jc w:val="both"/>
        <w:rPr>
          <w:sz w:val="26"/>
          <w:szCs w:val="26"/>
        </w:rPr>
      </w:pPr>
      <w:r>
        <w:rPr>
          <w:rFonts w:eastAsia="Times New Roman"/>
          <w:sz w:val="26"/>
          <w:szCs w:val="26"/>
          <w:lang w:eastAsia="ru-RU"/>
        </w:rPr>
        <w:t xml:space="preserve">Доля жилищного фонда, оборудованного отопительными печами, работающими на твердом топливе (уголь и дрова), составляет 100%. </w:t>
      </w:r>
    </w:p>
    <w:p>
      <w:pPr>
        <w:pStyle w:val="Normal"/>
        <w:ind w:firstLine="850"/>
        <w:jc w:val="both"/>
        <w:rPr>
          <w:sz w:val="26"/>
          <w:szCs w:val="26"/>
        </w:rPr>
      </w:pPr>
      <w:r>
        <w:rPr>
          <w:rFonts w:eastAsia="Times New Roman"/>
          <w:sz w:val="26"/>
          <w:szCs w:val="26"/>
          <w:lang w:eastAsia="ru-RU"/>
        </w:rPr>
        <w:t>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2.4. Перспективные балансы тепловой мощности и тепловой нагрузки в перспективных зонах действия источников тепловой энергии.</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 xml:space="preserve">Перспективные балансы тепловой мощности и тепловой нагрузки в перспективных зонах действия источников тепловой энергии равны существующим, так как в Генеральном плане </w:t>
      </w:r>
      <w:r>
        <w:rPr>
          <w:sz w:val="26"/>
          <w:szCs w:val="26"/>
        </w:rPr>
        <w:t>Доможаковского</w:t>
      </w:r>
      <w:r>
        <w:rPr>
          <w:rFonts w:eastAsia="Times New Roman"/>
          <w:sz w:val="26"/>
          <w:szCs w:val="26"/>
          <w:lang w:eastAsia="ru-RU"/>
        </w:rPr>
        <w:t xml:space="preserve"> сельсовета не предусмотрено изменение существующей схемы теплоснабжения </w:t>
      </w:r>
      <w:r>
        <w:rPr>
          <w:sz w:val="26"/>
          <w:szCs w:val="26"/>
        </w:rPr>
        <w:t>Доможаковского</w:t>
      </w:r>
      <w:r>
        <w:rPr>
          <w:rFonts w:eastAsia="Times New Roman"/>
          <w:sz w:val="26"/>
          <w:szCs w:val="26"/>
          <w:lang w:eastAsia="ru-RU"/>
        </w:rPr>
        <w:t xml:space="preserve"> сельсовета.</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center"/>
        <w:rPr>
          <w:sz w:val="26"/>
          <w:szCs w:val="26"/>
        </w:rPr>
      </w:pPr>
      <w:r>
        <w:rPr>
          <w:rFonts w:eastAsia="Times New Roman"/>
          <w:sz w:val="26"/>
          <w:szCs w:val="26"/>
          <w:lang w:eastAsia="ru-RU"/>
        </w:rPr>
        <w:t>Перспективные значения установленной тепловой мощности основного оборудования источников тепловой энергии.</w:t>
      </w:r>
    </w:p>
    <w:p>
      <w:pPr>
        <w:pStyle w:val="Normal"/>
        <w:ind w:hanging="0"/>
        <w:jc w:val="right"/>
        <w:rPr>
          <w:sz w:val="26"/>
          <w:szCs w:val="26"/>
        </w:rPr>
      </w:pPr>
      <w:r>
        <w:rPr>
          <w:rFonts w:eastAsia="Times New Roman"/>
          <w:sz w:val="26"/>
          <w:szCs w:val="26"/>
          <w:lang w:eastAsia="ru-RU"/>
        </w:rPr>
        <w:t>Таблица 8</w:t>
      </w:r>
    </w:p>
    <w:tbl>
      <w:tblPr>
        <w:tblW w:w="9321" w:type="dxa"/>
        <w:jc w:val="left"/>
        <w:tblInd w:w="250" w:type="dxa"/>
        <w:tblLayout w:type="fixed"/>
        <w:tblCellMar>
          <w:top w:w="0" w:type="dxa"/>
          <w:left w:w="103" w:type="dxa"/>
          <w:bottom w:w="0" w:type="dxa"/>
          <w:right w:w="108" w:type="dxa"/>
        </w:tblCellMar>
        <w:tblLook w:val="04a0"/>
      </w:tblPr>
      <w:tblGrid>
        <w:gridCol w:w="4296"/>
        <w:gridCol w:w="2856"/>
        <w:gridCol w:w="2169"/>
      </w:tblGrid>
      <w:tr>
        <w:trPr/>
        <w:tc>
          <w:tcPr>
            <w:tcW w:w="429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tc>
        <w:tc>
          <w:tcPr>
            <w:tcW w:w="285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Установленная мощность, Гкал/час</w:t>
            </w:r>
          </w:p>
        </w:tc>
        <w:tc>
          <w:tcPr>
            <w:tcW w:w="216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both"/>
              <w:rPr>
                <w:sz w:val="26"/>
                <w:szCs w:val="26"/>
              </w:rPr>
            </w:pPr>
            <w:r>
              <w:rPr>
                <w:rFonts w:eastAsia="Times New Roman"/>
                <w:sz w:val="26"/>
                <w:szCs w:val="26"/>
                <w:lang w:eastAsia="ru-RU"/>
              </w:rPr>
              <w:t>Присоединенная нагрузка, Гкал/ч</w:t>
            </w:r>
          </w:p>
        </w:tc>
      </w:tr>
      <w:tr>
        <w:trPr/>
        <w:tc>
          <w:tcPr>
            <w:tcW w:w="429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sz w:val="26"/>
                <w:szCs w:val="26"/>
              </w:rPr>
            </w:pPr>
            <w:r>
              <w:rPr>
                <w:rFonts w:eastAsia="Times New Roman"/>
                <w:sz w:val="26"/>
                <w:szCs w:val="26"/>
                <w:lang w:eastAsia="ru-RU"/>
              </w:rPr>
              <w:t>Котельная пер. Школьный 1а</w:t>
            </w:r>
          </w:p>
        </w:tc>
        <w:tc>
          <w:tcPr>
            <w:tcW w:w="285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3,0</w:t>
            </w:r>
          </w:p>
        </w:tc>
        <w:tc>
          <w:tcPr>
            <w:tcW w:w="216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0,479</w:t>
            </w:r>
          </w:p>
          <w:p>
            <w:pPr>
              <w:pStyle w:val="Normal"/>
              <w:widowControl w:val="false"/>
              <w:ind w:hanging="0"/>
              <w:jc w:val="center"/>
              <w:rPr>
                <w:rFonts w:eastAsia="Times New Roman"/>
                <w:sz w:val="26"/>
                <w:szCs w:val="26"/>
                <w:lang w:eastAsia="ru-RU"/>
              </w:rPr>
            </w:pPr>
            <w:r>
              <w:rPr>
                <w:rFonts w:eastAsia="Times New Roman"/>
                <w:sz w:val="26"/>
                <w:szCs w:val="26"/>
                <w:lang w:eastAsia="ru-RU"/>
              </w:rPr>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b/>
          <w:sz w:val="26"/>
          <w:szCs w:val="26"/>
          <w:lang w:eastAsia="ru-RU"/>
        </w:rPr>
        <w:tab/>
        <w:t>Раздел 3. Перспективные балансы тепловой мощности и тепловой нагрузки в каждой системе теплоснабжения и зоне действия источников тепловой энергии .</w:t>
      </w:r>
    </w:p>
    <w:p>
      <w:pPr>
        <w:pStyle w:val="Normal"/>
        <w:ind w:hanging="0"/>
        <w:jc w:val="both"/>
        <w:rPr>
          <w:sz w:val="26"/>
          <w:szCs w:val="26"/>
        </w:rPr>
      </w:pPr>
      <w:r>
        <w:rPr>
          <w:rFonts w:eastAsia="Times New Roman"/>
          <w:sz w:val="26"/>
          <w:szCs w:val="26"/>
          <w:lang w:eastAsia="ru-RU"/>
        </w:rPr>
        <w:tab/>
        <w:t>3.1. Существующие и перспективные значения установленной тепловой мощности основного оборудования источника тепловой энергии</w:t>
      </w:r>
    </w:p>
    <w:p>
      <w:pPr>
        <w:pStyle w:val="Normal"/>
        <w:ind w:hanging="0"/>
        <w:jc w:val="right"/>
        <w:rPr>
          <w:sz w:val="26"/>
          <w:szCs w:val="26"/>
        </w:rPr>
      </w:pPr>
      <w:r>
        <w:rPr>
          <w:rFonts w:eastAsia="Times New Roman"/>
          <w:sz w:val="26"/>
          <w:szCs w:val="26"/>
          <w:lang w:eastAsia="ru-RU"/>
        </w:rPr>
        <w:t>Таблица 9</w:t>
      </w:r>
    </w:p>
    <w:tbl>
      <w:tblPr>
        <w:tblW w:w="9994" w:type="dxa"/>
        <w:jc w:val="left"/>
        <w:tblInd w:w="250" w:type="dxa"/>
        <w:tblLayout w:type="fixed"/>
        <w:tblCellMar>
          <w:top w:w="0" w:type="dxa"/>
          <w:left w:w="103" w:type="dxa"/>
          <w:bottom w:w="0" w:type="dxa"/>
          <w:right w:w="108" w:type="dxa"/>
        </w:tblCellMar>
        <w:tblLook w:val="04a0"/>
      </w:tblPr>
      <w:tblGrid>
        <w:gridCol w:w="4591"/>
        <w:gridCol w:w="3060"/>
        <w:gridCol w:w="2343"/>
      </w:tblGrid>
      <w:tr>
        <w:trPr>
          <w:trHeight w:val="869" w:hRule="atLeast"/>
        </w:trPr>
        <w:tc>
          <w:tcPr>
            <w:tcW w:w="459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tc>
        <w:tc>
          <w:tcPr>
            <w:tcW w:w="30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Существующая Установленная мощность, Гкал/час</w:t>
            </w:r>
          </w:p>
        </w:tc>
        <w:tc>
          <w:tcPr>
            <w:tcW w:w="23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both"/>
              <w:rPr>
                <w:sz w:val="26"/>
                <w:szCs w:val="26"/>
              </w:rPr>
            </w:pPr>
            <w:r>
              <w:rPr>
                <w:rFonts w:eastAsia="Times New Roman"/>
                <w:sz w:val="26"/>
                <w:szCs w:val="26"/>
                <w:lang w:eastAsia="ru-RU"/>
              </w:rPr>
              <w:t>Перспективная установленная мощность, Гкал/час</w:t>
            </w:r>
          </w:p>
        </w:tc>
      </w:tr>
      <w:tr>
        <w:trPr>
          <w:trHeight w:val="569" w:hRule="atLeast"/>
        </w:trPr>
        <w:tc>
          <w:tcPr>
            <w:tcW w:w="45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sz w:val="26"/>
                <w:szCs w:val="26"/>
              </w:rPr>
            </w:pPr>
            <w:r>
              <w:rPr>
                <w:rFonts w:eastAsia="Times New Roman"/>
                <w:sz w:val="26"/>
                <w:szCs w:val="26"/>
                <w:lang w:eastAsia="ru-RU"/>
              </w:rPr>
              <w:t>Котельная пер. Школьный 1а</w:t>
            </w:r>
          </w:p>
        </w:tc>
        <w:tc>
          <w:tcPr>
            <w:tcW w:w="30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3,0</w:t>
            </w:r>
          </w:p>
        </w:tc>
        <w:tc>
          <w:tcPr>
            <w:tcW w:w="23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3,0</w:t>
            </w:r>
          </w:p>
          <w:p>
            <w:pPr>
              <w:pStyle w:val="Normal"/>
              <w:widowControl w:val="false"/>
              <w:ind w:hanging="0"/>
              <w:jc w:val="center"/>
              <w:rPr>
                <w:rFonts w:eastAsia="Times New Roman"/>
                <w:sz w:val="26"/>
                <w:szCs w:val="26"/>
                <w:lang w:eastAsia="ru-RU"/>
              </w:rPr>
            </w:pPr>
            <w:r>
              <w:rPr>
                <w:rFonts w:eastAsia="Times New Roman"/>
                <w:sz w:val="26"/>
                <w:szCs w:val="26"/>
                <w:lang w:eastAsia="ru-RU"/>
              </w:rPr>
            </w:r>
          </w:p>
        </w:tc>
      </w:tr>
    </w:tbl>
    <w:p>
      <w:pPr>
        <w:pStyle w:val="Normal"/>
        <w:ind w:hanging="0"/>
        <w:jc w:val="both"/>
        <w:rPr>
          <w:sz w:val="26"/>
          <w:szCs w:val="26"/>
        </w:rPr>
      </w:pPr>
      <w:r>
        <w:rPr>
          <w:rFonts w:eastAsia="Times New Roman"/>
          <w:sz w:val="26"/>
          <w:szCs w:val="26"/>
          <w:lang w:eastAsia="ru-RU"/>
        </w:rPr>
        <w:tab/>
        <w:t>3.2.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p>
      <w:pPr>
        <w:pStyle w:val="Normal"/>
        <w:ind w:hanging="0"/>
        <w:jc w:val="right"/>
        <w:rPr>
          <w:sz w:val="26"/>
          <w:szCs w:val="26"/>
        </w:rPr>
      </w:pPr>
      <w:r>
        <w:rPr>
          <w:sz w:val="26"/>
          <w:szCs w:val="26"/>
        </w:rPr>
        <w:t>Таблица 10</w:t>
      </w:r>
    </w:p>
    <w:tbl>
      <w:tblPr>
        <w:tblW w:w="9978" w:type="dxa"/>
        <w:jc w:val="left"/>
        <w:tblInd w:w="250" w:type="dxa"/>
        <w:tblLayout w:type="fixed"/>
        <w:tblCellMar>
          <w:top w:w="0" w:type="dxa"/>
          <w:left w:w="103" w:type="dxa"/>
          <w:bottom w:w="0" w:type="dxa"/>
          <w:right w:w="108" w:type="dxa"/>
        </w:tblCellMar>
        <w:tblLook w:val="04a0"/>
      </w:tblPr>
      <w:tblGrid>
        <w:gridCol w:w="4535"/>
        <w:gridCol w:w="3104"/>
        <w:gridCol w:w="2339"/>
      </w:tblGrid>
      <w:tr>
        <w:trPr>
          <w:trHeight w:val="1112" w:hRule="atLeast"/>
        </w:trPr>
        <w:tc>
          <w:tcPr>
            <w:tcW w:w="453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tc>
        <w:tc>
          <w:tcPr>
            <w:tcW w:w="310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Существующая Установленная мощность, Гкал/час</w:t>
            </w:r>
          </w:p>
        </w:tc>
        <w:tc>
          <w:tcPr>
            <w:tcW w:w="23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both"/>
              <w:rPr>
                <w:sz w:val="26"/>
                <w:szCs w:val="26"/>
              </w:rPr>
            </w:pPr>
            <w:r>
              <w:rPr>
                <w:rFonts w:eastAsia="Times New Roman"/>
                <w:sz w:val="26"/>
                <w:szCs w:val="26"/>
                <w:lang w:eastAsia="ru-RU"/>
              </w:rPr>
              <w:t>Перспективная установленная мощность, Гкал/час</w:t>
            </w:r>
          </w:p>
        </w:tc>
      </w:tr>
      <w:tr>
        <w:trPr>
          <w:trHeight w:val="563" w:hRule="atLeast"/>
        </w:trPr>
        <w:tc>
          <w:tcPr>
            <w:tcW w:w="453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sz w:val="26"/>
                <w:szCs w:val="26"/>
              </w:rPr>
            </w:pPr>
            <w:r>
              <w:rPr>
                <w:rFonts w:eastAsia="Times New Roman"/>
                <w:sz w:val="26"/>
                <w:szCs w:val="26"/>
                <w:lang w:eastAsia="ru-RU"/>
              </w:rPr>
              <w:t>Котельная пер. Школьный 1а</w:t>
            </w:r>
          </w:p>
        </w:tc>
        <w:tc>
          <w:tcPr>
            <w:tcW w:w="310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3,0</w:t>
            </w:r>
          </w:p>
        </w:tc>
        <w:tc>
          <w:tcPr>
            <w:tcW w:w="23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3,0</w:t>
            </w:r>
          </w:p>
          <w:p>
            <w:pPr>
              <w:pStyle w:val="Normal"/>
              <w:widowControl w:val="false"/>
              <w:ind w:hanging="0"/>
              <w:jc w:val="center"/>
              <w:rPr>
                <w:rFonts w:eastAsia="Times New Roman"/>
                <w:sz w:val="26"/>
                <w:szCs w:val="26"/>
                <w:lang w:eastAsia="ru-RU"/>
              </w:rPr>
            </w:pPr>
            <w:r>
              <w:rPr>
                <w:rFonts w:eastAsia="Times New Roman"/>
                <w:sz w:val="26"/>
                <w:szCs w:val="26"/>
                <w:lang w:eastAsia="ru-RU"/>
              </w:rPr>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3.3.Существующие и перспективные затраты тепловой мощности на собственные и хозяйственные нужды источников тепловой энергии (в разрезе котельных и ЦТП).</w:t>
      </w:r>
    </w:p>
    <w:p>
      <w:pPr>
        <w:pStyle w:val="Normal"/>
        <w:ind w:hanging="0"/>
        <w:jc w:val="right"/>
        <w:rPr>
          <w:sz w:val="26"/>
          <w:szCs w:val="26"/>
        </w:rPr>
      </w:pPr>
      <w:r>
        <w:rPr>
          <w:sz w:val="26"/>
          <w:szCs w:val="26"/>
        </w:rPr>
        <w:t>Таблица 11</w:t>
      </w:r>
    </w:p>
    <w:p>
      <w:pPr>
        <w:pStyle w:val="Normal"/>
        <w:ind w:hanging="0"/>
        <w:jc w:val="both"/>
        <w:rPr>
          <w:rFonts w:eastAsia="Times New Roman"/>
          <w:sz w:val="26"/>
          <w:szCs w:val="26"/>
          <w:lang w:eastAsia="ru-RU"/>
        </w:rPr>
      </w:pPr>
      <w:r>
        <w:rPr>
          <w:rFonts w:eastAsia="Times New Roman"/>
          <w:sz w:val="26"/>
          <w:szCs w:val="26"/>
          <w:lang w:eastAsia="ru-RU"/>
        </w:rPr>
      </w:r>
    </w:p>
    <w:tbl>
      <w:tblPr>
        <w:tblW w:w="9497" w:type="dxa"/>
        <w:jc w:val="left"/>
        <w:tblInd w:w="250" w:type="dxa"/>
        <w:tblLayout w:type="fixed"/>
        <w:tblCellMar>
          <w:top w:w="0" w:type="dxa"/>
          <w:left w:w="103" w:type="dxa"/>
          <w:bottom w:w="0" w:type="dxa"/>
          <w:right w:w="108" w:type="dxa"/>
        </w:tblCellMar>
        <w:tblLook w:val="04a0"/>
      </w:tblPr>
      <w:tblGrid>
        <w:gridCol w:w="5381"/>
        <w:gridCol w:w="2058"/>
        <w:gridCol w:w="2058"/>
      </w:tblGrid>
      <w:tr>
        <w:trPr/>
        <w:tc>
          <w:tcPr>
            <w:tcW w:w="5381"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tc>
        <w:tc>
          <w:tcPr>
            <w:tcW w:w="411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Затраты на собственные нужды, Гкал/час</w:t>
            </w:r>
          </w:p>
        </w:tc>
      </w:tr>
      <w:tr>
        <w:trPr/>
        <w:tc>
          <w:tcPr>
            <w:tcW w:w="5381"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sz w:val="26"/>
                <w:szCs w:val="26"/>
                <w:lang w:eastAsia="ru-RU"/>
              </w:rPr>
            </w:pPr>
            <w:r>
              <w:rPr>
                <w:rFonts w:eastAsia="Times New Roman"/>
                <w:sz w:val="26"/>
                <w:szCs w:val="26"/>
                <w:lang w:eastAsia="ru-RU"/>
              </w:rPr>
            </w:r>
          </w:p>
        </w:tc>
        <w:tc>
          <w:tcPr>
            <w:tcW w:w="20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существующие</w:t>
            </w:r>
          </w:p>
        </w:tc>
        <w:tc>
          <w:tcPr>
            <w:tcW w:w="20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перспективные</w:t>
            </w:r>
          </w:p>
        </w:tc>
      </w:tr>
      <w:tr>
        <w:trPr/>
        <w:tc>
          <w:tcPr>
            <w:tcW w:w="53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sz w:val="26"/>
                <w:szCs w:val="26"/>
              </w:rPr>
            </w:pPr>
            <w:r>
              <w:rPr>
                <w:rFonts w:eastAsia="Times New Roman"/>
                <w:sz w:val="26"/>
                <w:szCs w:val="26"/>
                <w:lang w:eastAsia="ru-RU"/>
              </w:rPr>
              <w:t>Котельная, пер. Школьный 1а</w:t>
            </w:r>
          </w:p>
        </w:tc>
        <w:tc>
          <w:tcPr>
            <w:tcW w:w="20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0,01 Гкал/час</w:t>
            </w:r>
          </w:p>
          <w:p>
            <w:pPr>
              <w:pStyle w:val="Normal"/>
              <w:widowControl w:val="false"/>
              <w:ind w:hanging="0"/>
              <w:jc w:val="center"/>
              <w:rPr>
                <w:rFonts w:eastAsia="Times New Roman"/>
                <w:sz w:val="26"/>
                <w:szCs w:val="26"/>
                <w:lang w:eastAsia="ru-RU"/>
              </w:rPr>
            </w:pPr>
            <w:r>
              <w:rPr>
                <w:rFonts w:eastAsia="Times New Roman"/>
                <w:sz w:val="26"/>
                <w:szCs w:val="26"/>
                <w:lang w:eastAsia="ru-RU"/>
              </w:rPr>
            </w:r>
          </w:p>
        </w:tc>
        <w:tc>
          <w:tcPr>
            <w:tcW w:w="20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0,01 Гкал/час</w:t>
            </w:r>
          </w:p>
          <w:p>
            <w:pPr>
              <w:pStyle w:val="Normal"/>
              <w:widowControl w:val="false"/>
              <w:ind w:hanging="0"/>
              <w:jc w:val="center"/>
              <w:rPr>
                <w:rFonts w:eastAsia="Times New Roman"/>
                <w:sz w:val="26"/>
                <w:szCs w:val="26"/>
                <w:lang w:eastAsia="ru-RU"/>
              </w:rPr>
            </w:pPr>
            <w:r>
              <w:rPr>
                <w:rFonts w:eastAsia="Times New Roman"/>
                <w:sz w:val="26"/>
                <w:szCs w:val="26"/>
                <w:lang w:eastAsia="ru-RU"/>
              </w:rPr>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3.4.Значения существующей и перспективной тепловой мощности источников тепловой энергии нетто.</w:t>
      </w:r>
    </w:p>
    <w:p>
      <w:pPr>
        <w:pStyle w:val="Normal"/>
        <w:ind w:hanging="0"/>
        <w:jc w:val="right"/>
        <w:rPr>
          <w:sz w:val="26"/>
          <w:szCs w:val="26"/>
        </w:rPr>
      </w:pPr>
      <w:r>
        <w:rPr>
          <w:rFonts w:eastAsia="Times New Roman"/>
          <w:sz w:val="26"/>
          <w:szCs w:val="26"/>
          <w:lang w:eastAsia="ru-RU"/>
        </w:rPr>
        <w:t>Таблица 12</w:t>
      </w:r>
    </w:p>
    <w:tbl>
      <w:tblPr>
        <w:tblW w:w="9643" w:type="dxa"/>
        <w:jc w:val="left"/>
        <w:tblInd w:w="250" w:type="dxa"/>
        <w:tblLayout w:type="fixed"/>
        <w:tblCellMar>
          <w:top w:w="0" w:type="dxa"/>
          <w:left w:w="103" w:type="dxa"/>
          <w:bottom w:w="0" w:type="dxa"/>
          <w:right w:w="108" w:type="dxa"/>
        </w:tblCellMar>
        <w:tblLook w:val="04a0"/>
      </w:tblPr>
      <w:tblGrid>
        <w:gridCol w:w="3317"/>
        <w:gridCol w:w="2257"/>
        <w:gridCol w:w="2043"/>
        <w:gridCol w:w="2025"/>
      </w:tblGrid>
      <w:tr>
        <w:trPr/>
        <w:tc>
          <w:tcPr>
            <w:tcW w:w="3317"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адрес</w:t>
            </w:r>
          </w:p>
        </w:tc>
        <w:tc>
          <w:tcPr>
            <w:tcW w:w="2257"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Фактическая располагаемая мощность источника, Гкал/час</w:t>
            </w:r>
          </w:p>
        </w:tc>
        <w:tc>
          <w:tcPr>
            <w:tcW w:w="4068"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Мощность тепловой энергии нетто, Гкал/час</w:t>
            </w:r>
          </w:p>
        </w:tc>
      </w:tr>
      <w:tr>
        <w:trPr/>
        <w:tc>
          <w:tcPr>
            <w:tcW w:w="33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sz w:val="26"/>
                <w:szCs w:val="26"/>
                <w:lang w:eastAsia="ru-RU"/>
              </w:rPr>
            </w:pPr>
            <w:r>
              <w:rPr>
                <w:rFonts w:eastAsia="Times New Roman"/>
                <w:sz w:val="26"/>
                <w:szCs w:val="26"/>
                <w:lang w:eastAsia="ru-RU"/>
              </w:rPr>
            </w:r>
          </w:p>
        </w:tc>
        <w:tc>
          <w:tcPr>
            <w:tcW w:w="225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6"/>
                <w:szCs w:val="26"/>
                <w:lang w:eastAsia="ru-RU"/>
              </w:rPr>
            </w:pPr>
            <w:r>
              <w:rPr>
                <w:rFonts w:eastAsia="Times New Roman"/>
                <w:sz w:val="26"/>
                <w:szCs w:val="26"/>
                <w:lang w:eastAsia="ru-RU"/>
              </w:rPr>
            </w:r>
          </w:p>
        </w:tc>
        <w:tc>
          <w:tcPr>
            <w:tcW w:w="20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существующие</w:t>
            </w:r>
          </w:p>
        </w:tc>
        <w:tc>
          <w:tcPr>
            <w:tcW w:w="202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перспективные</w:t>
            </w:r>
          </w:p>
        </w:tc>
      </w:tr>
      <w:tr>
        <w:trPr/>
        <w:tc>
          <w:tcPr>
            <w:tcW w:w="33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sz w:val="26"/>
                <w:szCs w:val="26"/>
              </w:rPr>
            </w:pPr>
            <w:r>
              <w:rPr>
                <w:rFonts w:eastAsia="Times New Roman"/>
                <w:sz w:val="26"/>
                <w:szCs w:val="26"/>
                <w:lang w:eastAsia="ru-RU"/>
              </w:rPr>
              <w:t>Котельная , пер. Школьный 1а</w:t>
            </w:r>
          </w:p>
        </w:tc>
        <w:tc>
          <w:tcPr>
            <w:tcW w:w="225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3,0</w:t>
            </w:r>
          </w:p>
        </w:tc>
        <w:tc>
          <w:tcPr>
            <w:tcW w:w="20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sz w:val="26"/>
                <w:szCs w:val="26"/>
              </w:rPr>
            </w:pPr>
            <w:r>
              <w:rPr>
                <w:rFonts w:eastAsia="Times New Roman"/>
                <w:sz w:val="26"/>
                <w:szCs w:val="26"/>
                <w:lang w:eastAsia="ru-RU"/>
              </w:rPr>
              <w:t>3,0</w:t>
            </w:r>
          </w:p>
        </w:tc>
        <w:tc>
          <w:tcPr>
            <w:tcW w:w="202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3,0</w:t>
            </w:r>
          </w:p>
          <w:p>
            <w:pPr>
              <w:pStyle w:val="Normal"/>
              <w:widowControl w:val="false"/>
              <w:ind w:hanging="0"/>
              <w:jc w:val="center"/>
              <w:rPr>
                <w:rFonts w:eastAsia="Times New Roman"/>
                <w:sz w:val="26"/>
                <w:szCs w:val="26"/>
                <w:lang w:eastAsia="ru-RU"/>
              </w:rPr>
            </w:pPr>
            <w:r>
              <w:rPr>
                <w:rFonts w:eastAsia="Times New Roman"/>
                <w:sz w:val="26"/>
                <w:szCs w:val="26"/>
                <w:lang w:eastAsia="ru-RU"/>
              </w:rPr>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 xml:space="preserve">3.5.Значения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с потерями теплоносителя и указанием затрат на компенсацию этих потерь. Значение принято согласно норматива теплопотерь. </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right"/>
        <w:rPr>
          <w:sz w:val="26"/>
          <w:szCs w:val="26"/>
        </w:rPr>
      </w:pPr>
      <w:r>
        <w:rPr>
          <w:rFonts w:eastAsia="Times New Roman"/>
          <w:sz w:val="26"/>
          <w:szCs w:val="26"/>
          <w:lang w:eastAsia="ru-RU"/>
        </w:rPr>
        <w:t>Таблица 13</w:t>
      </w:r>
    </w:p>
    <w:tbl>
      <w:tblPr>
        <w:tblpPr w:bottomFromText="0" w:horzAnchor="text" w:leftFromText="180" w:rightFromText="180" w:tblpX="0" w:tblpY="1" w:topFromText="0" w:vertAnchor="text"/>
        <w:tblW w:w="10033" w:type="dxa"/>
        <w:jc w:val="left"/>
        <w:tblInd w:w="73" w:type="dxa"/>
        <w:tblLayout w:type="fixed"/>
        <w:tblCellMar>
          <w:top w:w="0" w:type="dxa"/>
          <w:left w:w="73" w:type="dxa"/>
          <w:bottom w:w="0" w:type="dxa"/>
          <w:right w:w="108" w:type="dxa"/>
        </w:tblCellMar>
        <w:tblLook w:val="0000"/>
      </w:tblPr>
      <w:tblGrid>
        <w:gridCol w:w="4520"/>
        <w:gridCol w:w="2899"/>
        <w:gridCol w:w="2614"/>
      </w:tblGrid>
      <w:tr>
        <w:trPr>
          <w:trHeight w:val="108" w:hRule="atLeast"/>
        </w:trPr>
        <w:tc>
          <w:tcPr>
            <w:tcW w:w="452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tc>
        <w:tc>
          <w:tcPr>
            <w:tcW w:w="289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Потери ТЭ через изоляцию, Гкал</w:t>
            </w:r>
          </w:p>
        </w:tc>
        <w:tc>
          <w:tcPr>
            <w:tcW w:w="261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Перспективные потери ТЭ через изоляцию, Гкал</w:t>
            </w:r>
          </w:p>
        </w:tc>
      </w:tr>
      <w:tr>
        <w:trPr>
          <w:trHeight w:val="108" w:hRule="atLeast"/>
        </w:trPr>
        <w:tc>
          <w:tcPr>
            <w:tcW w:w="452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Котельная , пер.Школьный 1а</w:t>
            </w:r>
          </w:p>
        </w:tc>
        <w:tc>
          <w:tcPr>
            <w:tcW w:w="289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872,506</w:t>
            </w:r>
          </w:p>
        </w:tc>
        <w:tc>
          <w:tcPr>
            <w:tcW w:w="261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580,0</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3.6.Затраты существующей и перспективной тепловой мощности на хозяйственные нужды тепловых сетей.</w:t>
      </w:r>
    </w:p>
    <w:p>
      <w:pPr>
        <w:pStyle w:val="Normal"/>
        <w:ind w:hanging="0"/>
        <w:jc w:val="right"/>
        <w:rPr>
          <w:sz w:val="26"/>
          <w:szCs w:val="26"/>
        </w:rPr>
      </w:pPr>
      <w:r>
        <w:rPr>
          <w:rFonts w:eastAsia="Times New Roman"/>
          <w:sz w:val="26"/>
          <w:szCs w:val="26"/>
          <w:lang w:eastAsia="ru-RU"/>
        </w:rPr>
        <w:t>Таблица 14</w:t>
      </w:r>
    </w:p>
    <w:tbl>
      <w:tblPr>
        <w:tblW w:w="9909" w:type="dxa"/>
        <w:jc w:val="left"/>
        <w:tblInd w:w="250" w:type="dxa"/>
        <w:tblLayout w:type="fixed"/>
        <w:tblCellMar>
          <w:top w:w="0" w:type="dxa"/>
          <w:left w:w="103" w:type="dxa"/>
          <w:bottom w:w="0" w:type="dxa"/>
          <w:right w:w="108" w:type="dxa"/>
        </w:tblCellMar>
        <w:tblLook w:val="04a0"/>
      </w:tblPr>
      <w:tblGrid>
        <w:gridCol w:w="7376"/>
        <w:gridCol w:w="2532"/>
      </w:tblGrid>
      <w:tr>
        <w:trPr>
          <w:trHeight w:val="322" w:hRule="atLeast"/>
        </w:trPr>
        <w:tc>
          <w:tcPr>
            <w:tcW w:w="7376"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адрес</w:t>
            </w:r>
          </w:p>
        </w:tc>
        <w:tc>
          <w:tcPr>
            <w:tcW w:w="2532"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Существующие затраты тепловой мощности на хоз. нужды тепловых сетей, Гкал/час</w:t>
            </w:r>
          </w:p>
        </w:tc>
      </w:tr>
      <w:tr>
        <w:trPr>
          <w:trHeight w:val="322" w:hRule="atLeast"/>
        </w:trPr>
        <w:tc>
          <w:tcPr>
            <w:tcW w:w="7376"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sz w:val="26"/>
                <w:szCs w:val="26"/>
                <w:lang w:eastAsia="ru-RU"/>
              </w:rPr>
            </w:pPr>
            <w:r>
              <w:rPr>
                <w:rFonts w:eastAsia="Times New Roman"/>
                <w:sz w:val="26"/>
                <w:szCs w:val="26"/>
                <w:lang w:eastAsia="ru-RU"/>
              </w:rPr>
            </w:r>
          </w:p>
        </w:tc>
        <w:tc>
          <w:tcPr>
            <w:tcW w:w="2532"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6"/>
                <w:szCs w:val="26"/>
                <w:lang w:eastAsia="ru-RU"/>
              </w:rPr>
            </w:pPr>
            <w:r>
              <w:rPr>
                <w:rFonts w:eastAsia="Times New Roman"/>
                <w:sz w:val="26"/>
                <w:szCs w:val="26"/>
                <w:lang w:eastAsia="ru-RU"/>
              </w:rPr>
            </w:r>
          </w:p>
        </w:tc>
      </w:tr>
      <w:tr>
        <w:trPr/>
        <w:tc>
          <w:tcPr>
            <w:tcW w:w="73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sz w:val="26"/>
                <w:szCs w:val="26"/>
              </w:rPr>
            </w:pPr>
            <w:r>
              <w:rPr>
                <w:rFonts w:eastAsia="Times New Roman"/>
                <w:sz w:val="26"/>
                <w:szCs w:val="26"/>
                <w:lang w:eastAsia="ru-RU"/>
              </w:rPr>
              <w:t>Котельная , пер.Школьный 1а</w:t>
            </w:r>
          </w:p>
        </w:tc>
        <w:tc>
          <w:tcPr>
            <w:tcW w:w="25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b/>
                <w:sz w:val="26"/>
                <w:szCs w:val="26"/>
                <w:lang w:eastAsia="ru-RU"/>
              </w:rPr>
              <w:t>Нет</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3.7.Значения существующей и перспективной тепловой мощности источников теплоснабжения, в том числе источников тепловой энергии, принадлежащих потребителям, источников тепловой энергии теплоснабжающих организаций, с выделением аварийного резерва и резерва по договорам на поддержание резервной тепловой мощности.</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right"/>
        <w:rPr>
          <w:sz w:val="26"/>
          <w:szCs w:val="26"/>
        </w:rPr>
      </w:pPr>
      <w:r>
        <w:rPr>
          <w:rFonts w:eastAsia="Times New Roman"/>
          <w:sz w:val="26"/>
          <w:szCs w:val="26"/>
          <w:lang w:eastAsia="ru-RU"/>
        </w:rPr>
        <w:t>Таблица 15</w:t>
      </w:r>
    </w:p>
    <w:tbl>
      <w:tblPr>
        <w:tblW w:w="9643" w:type="dxa"/>
        <w:jc w:val="left"/>
        <w:tblInd w:w="250" w:type="dxa"/>
        <w:tblLayout w:type="fixed"/>
        <w:tblCellMar>
          <w:top w:w="0" w:type="dxa"/>
          <w:left w:w="103" w:type="dxa"/>
          <w:bottom w:w="0" w:type="dxa"/>
          <w:right w:w="108" w:type="dxa"/>
        </w:tblCellMar>
        <w:tblLook w:val="04a0"/>
      </w:tblPr>
      <w:tblGrid>
        <w:gridCol w:w="3970"/>
        <w:gridCol w:w="2539"/>
        <w:gridCol w:w="1567"/>
        <w:gridCol w:w="1566"/>
      </w:tblGrid>
      <w:tr>
        <w:trPr/>
        <w:tc>
          <w:tcPr>
            <w:tcW w:w="3970"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адрес</w:t>
            </w:r>
          </w:p>
        </w:tc>
        <w:tc>
          <w:tcPr>
            <w:tcW w:w="2539"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Фактическая резервная мощность источника, Гкал/час</w:t>
            </w:r>
          </w:p>
        </w:tc>
        <w:tc>
          <w:tcPr>
            <w:tcW w:w="313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Резерв мощности, Гкал/час</w:t>
            </w:r>
          </w:p>
        </w:tc>
      </w:tr>
      <w:tr>
        <w:trPr/>
        <w:tc>
          <w:tcPr>
            <w:tcW w:w="3970"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sz w:val="26"/>
                <w:szCs w:val="26"/>
                <w:lang w:eastAsia="ru-RU"/>
              </w:rPr>
            </w:pPr>
            <w:r>
              <w:rPr>
                <w:rFonts w:eastAsia="Times New Roman"/>
                <w:sz w:val="26"/>
                <w:szCs w:val="26"/>
                <w:lang w:eastAsia="ru-RU"/>
              </w:rPr>
            </w:r>
          </w:p>
        </w:tc>
        <w:tc>
          <w:tcPr>
            <w:tcW w:w="253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6"/>
                <w:szCs w:val="26"/>
                <w:lang w:eastAsia="ru-RU"/>
              </w:rPr>
            </w:pPr>
            <w:r>
              <w:rPr>
                <w:rFonts w:eastAsia="Times New Roman"/>
                <w:sz w:val="26"/>
                <w:szCs w:val="26"/>
                <w:lang w:eastAsia="ru-RU"/>
              </w:rPr>
            </w:r>
          </w:p>
        </w:tc>
        <w:tc>
          <w:tcPr>
            <w:tcW w:w="156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аварийный</w:t>
            </w:r>
          </w:p>
        </w:tc>
        <w:tc>
          <w:tcPr>
            <w:tcW w:w="156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Резерв по договорам</w:t>
            </w:r>
          </w:p>
        </w:tc>
      </w:tr>
      <w:tr>
        <w:trPr/>
        <w:tc>
          <w:tcPr>
            <w:tcW w:w="397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sz w:val="26"/>
                <w:szCs w:val="26"/>
              </w:rPr>
            </w:pPr>
            <w:r>
              <w:rPr>
                <w:rFonts w:eastAsia="Times New Roman"/>
                <w:sz w:val="26"/>
                <w:szCs w:val="26"/>
                <w:lang w:eastAsia="ru-RU"/>
              </w:rPr>
              <w:t>Котельная , пер. Школьный 1а</w:t>
            </w:r>
          </w:p>
        </w:tc>
        <w:tc>
          <w:tcPr>
            <w:tcW w:w="25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b/>
                <w:sz w:val="26"/>
                <w:szCs w:val="26"/>
                <w:lang w:eastAsia="ru-RU"/>
              </w:rPr>
              <w:t>3,0-0,479 =2,521</w:t>
            </w:r>
          </w:p>
        </w:tc>
        <w:tc>
          <w:tcPr>
            <w:tcW w:w="156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b/>
                <w:sz w:val="26"/>
                <w:szCs w:val="26"/>
                <w:lang w:eastAsia="ru-RU"/>
              </w:rPr>
              <w:t>1,0</w:t>
            </w:r>
          </w:p>
        </w:tc>
        <w:tc>
          <w:tcPr>
            <w:tcW w:w="156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b/>
                <w:sz w:val="26"/>
                <w:szCs w:val="26"/>
                <w:lang w:eastAsia="ru-RU"/>
              </w:rPr>
              <w:t>0</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b/>
          <w:sz w:val="26"/>
          <w:szCs w:val="26"/>
          <w:lang w:eastAsia="ru-RU"/>
        </w:rPr>
        <w:tab/>
        <w:t>Раздел 4.Перспективные балансы теплоносителя.</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sz w:val="26"/>
          <w:szCs w:val="26"/>
          <w:lang w:eastAsia="ru-RU"/>
        </w:rPr>
        <w:tab/>
        <w:t>4.1.Перспективные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pPr>
        <w:pStyle w:val="Normal"/>
        <w:ind w:hanging="0"/>
        <w:jc w:val="right"/>
        <w:rPr>
          <w:sz w:val="26"/>
          <w:szCs w:val="26"/>
        </w:rPr>
      </w:pPr>
      <w:r>
        <w:rPr>
          <w:rFonts w:eastAsia="Times New Roman"/>
          <w:sz w:val="26"/>
          <w:szCs w:val="26"/>
          <w:lang w:eastAsia="ru-RU"/>
        </w:rPr>
        <w:t>Таблица 16</w:t>
      </w:r>
    </w:p>
    <w:tbl>
      <w:tblPr>
        <w:tblW w:w="10032" w:type="dxa"/>
        <w:jc w:val="left"/>
        <w:tblInd w:w="99" w:type="dxa"/>
        <w:tblLayout w:type="fixed"/>
        <w:tblCellMar>
          <w:top w:w="0" w:type="dxa"/>
          <w:left w:w="103" w:type="dxa"/>
          <w:bottom w:w="0" w:type="dxa"/>
          <w:right w:w="108" w:type="dxa"/>
        </w:tblCellMar>
        <w:tblLook w:val="04a0"/>
      </w:tblPr>
      <w:tblGrid>
        <w:gridCol w:w="4514"/>
        <w:gridCol w:w="2220"/>
        <w:gridCol w:w="1200"/>
        <w:gridCol w:w="2097"/>
      </w:tblGrid>
      <w:tr>
        <w:trPr>
          <w:trHeight w:val="203" w:hRule="atLeast"/>
        </w:trPr>
        <w:tc>
          <w:tcPr>
            <w:tcW w:w="4514"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p>
            <w:pPr>
              <w:pStyle w:val="Normal"/>
              <w:widowControl w:val="false"/>
              <w:ind w:hanging="0"/>
              <w:rPr>
                <w:rFonts w:eastAsia="Times New Roman"/>
                <w:sz w:val="26"/>
                <w:szCs w:val="26"/>
                <w:lang w:eastAsia="ru-RU"/>
              </w:rPr>
            </w:pPr>
            <w:r>
              <w:rPr>
                <w:rFonts w:eastAsia="Times New Roman"/>
                <w:sz w:val="26"/>
                <w:szCs w:val="26"/>
                <w:lang w:eastAsia="ru-RU"/>
              </w:rPr>
            </w:r>
          </w:p>
          <w:p>
            <w:pPr>
              <w:pStyle w:val="Normal"/>
              <w:widowControl w:val="false"/>
              <w:ind w:hanging="0"/>
              <w:rPr>
                <w:rFonts w:eastAsia="Times New Roman"/>
                <w:sz w:val="26"/>
                <w:szCs w:val="26"/>
                <w:lang w:eastAsia="ru-RU"/>
              </w:rPr>
            </w:pPr>
            <w:r>
              <w:rPr>
                <w:rFonts w:eastAsia="Times New Roman"/>
                <w:sz w:val="26"/>
                <w:szCs w:val="26"/>
                <w:lang w:eastAsia="ru-RU"/>
              </w:rPr>
            </w:r>
          </w:p>
        </w:tc>
        <w:tc>
          <w:tcPr>
            <w:tcW w:w="2220"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Нормативное  потребление теплоносителя потребителями, м</w:t>
            </w:r>
            <w:r>
              <w:rPr>
                <w:rFonts w:eastAsia="Times New Roman"/>
                <w:sz w:val="26"/>
                <w:szCs w:val="26"/>
                <w:vertAlign w:val="superscript"/>
                <w:lang w:eastAsia="ru-RU"/>
              </w:rPr>
              <w:t>3</w:t>
            </w:r>
            <w:r>
              <w:rPr>
                <w:rFonts w:eastAsia="Times New Roman"/>
                <w:sz w:val="26"/>
                <w:szCs w:val="26"/>
                <w:lang w:eastAsia="ru-RU"/>
              </w:rPr>
              <w:t>/ч</w:t>
            </w:r>
          </w:p>
        </w:tc>
        <w:tc>
          <w:tcPr>
            <w:tcW w:w="3297"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Водоподготовительная установка</w:t>
            </w:r>
          </w:p>
        </w:tc>
      </w:tr>
      <w:tr>
        <w:trPr/>
        <w:tc>
          <w:tcPr>
            <w:tcW w:w="4514"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sz w:val="26"/>
                <w:szCs w:val="26"/>
                <w:lang w:eastAsia="ru-RU"/>
              </w:rPr>
            </w:pPr>
            <w:r>
              <w:rPr>
                <w:rFonts w:eastAsia="Times New Roman"/>
                <w:sz w:val="26"/>
                <w:szCs w:val="26"/>
                <w:lang w:eastAsia="ru-RU"/>
              </w:rPr>
            </w:r>
          </w:p>
        </w:tc>
        <w:tc>
          <w:tcPr>
            <w:tcW w:w="2220"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6"/>
                <w:szCs w:val="26"/>
                <w:lang w:eastAsia="ru-RU"/>
              </w:rPr>
            </w:pPr>
            <w:r>
              <w:rPr>
                <w:rFonts w:eastAsia="Times New Roman"/>
                <w:sz w:val="26"/>
                <w:szCs w:val="26"/>
                <w:lang w:eastAsia="ru-RU"/>
              </w:rPr>
            </w:r>
          </w:p>
        </w:tc>
        <w:tc>
          <w:tcPr>
            <w:tcW w:w="120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eastAsia="ru-RU"/>
              </w:rPr>
              <w:t>Тип</w:t>
            </w:r>
          </w:p>
        </w:tc>
        <w:tc>
          <w:tcPr>
            <w:tcW w:w="209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sz w:val="26"/>
                <w:szCs w:val="26"/>
                <w:lang w:val="en-US" w:eastAsia="ru-RU"/>
              </w:rPr>
              <w:t>Max</w:t>
            </w:r>
            <w:r>
              <w:rPr>
                <w:rFonts w:eastAsia="Times New Roman"/>
                <w:sz w:val="26"/>
                <w:szCs w:val="26"/>
                <w:lang w:eastAsia="ru-RU"/>
              </w:rPr>
              <w:t xml:space="preserve"> производи тельность</w:t>
            </w:r>
          </w:p>
          <w:p>
            <w:pPr>
              <w:pStyle w:val="Normal"/>
              <w:widowControl w:val="false"/>
              <w:ind w:hanging="0"/>
              <w:jc w:val="center"/>
              <w:rPr>
                <w:sz w:val="26"/>
                <w:szCs w:val="26"/>
              </w:rPr>
            </w:pPr>
            <w:r>
              <w:rPr>
                <w:rFonts w:eastAsia="Times New Roman"/>
                <w:sz w:val="26"/>
                <w:szCs w:val="26"/>
                <w:lang w:eastAsia="ru-RU"/>
              </w:rPr>
              <w:t>установки</w:t>
            </w:r>
          </w:p>
        </w:tc>
      </w:tr>
      <w:tr>
        <w:trPr/>
        <w:tc>
          <w:tcPr>
            <w:tcW w:w="451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sz w:val="26"/>
                <w:szCs w:val="26"/>
              </w:rPr>
            </w:pPr>
            <w:r>
              <w:rPr>
                <w:rFonts w:eastAsia="Times New Roman"/>
                <w:sz w:val="26"/>
                <w:szCs w:val="26"/>
                <w:lang w:eastAsia="ru-RU"/>
              </w:rPr>
              <w:t>Котельная , пер. Школьный 1а</w:t>
            </w:r>
          </w:p>
        </w:tc>
        <w:tc>
          <w:tcPr>
            <w:tcW w:w="222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sz w:val="26"/>
                <w:szCs w:val="26"/>
              </w:rPr>
            </w:pPr>
            <w:r>
              <w:rPr>
                <w:rFonts w:eastAsia="Times New Roman"/>
                <w:b/>
                <w:sz w:val="26"/>
                <w:szCs w:val="26"/>
                <w:lang w:eastAsia="ru-RU"/>
              </w:rPr>
              <w:t>-</w:t>
            </w:r>
          </w:p>
        </w:tc>
        <w:tc>
          <w:tcPr>
            <w:tcW w:w="120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b/>
                <w:sz w:val="26"/>
                <w:szCs w:val="26"/>
                <w:lang w:eastAsia="ru-RU"/>
              </w:rPr>
              <w:t>-</w:t>
            </w:r>
          </w:p>
        </w:tc>
        <w:tc>
          <w:tcPr>
            <w:tcW w:w="209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b/>
                <w:sz w:val="26"/>
                <w:szCs w:val="26"/>
                <w:lang w:eastAsia="ru-RU"/>
              </w:rPr>
              <w:t>-</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4.2.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right"/>
        <w:rPr>
          <w:sz w:val="26"/>
          <w:szCs w:val="26"/>
        </w:rPr>
      </w:pPr>
      <w:r>
        <w:rPr>
          <w:rFonts w:eastAsia="Times New Roman"/>
          <w:sz w:val="26"/>
          <w:szCs w:val="26"/>
          <w:lang w:eastAsia="ru-RU"/>
        </w:rPr>
        <w:t>Таблица 17</w:t>
      </w:r>
    </w:p>
    <w:tbl>
      <w:tblPr>
        <w:tblW w:w="9587" w:type="dxa"/>
        <w:jc w:val="left"/>
        <w:tblInd w:w="250" w:type="dxa"/>
        <w:tblLayout w:type="fixed"/>
        <w:tblCellMar>
          <w:top w:w="0" w:type="dxa"/>
          <w:left w:w="103" w:type="dxa"/>
          <w:bottom w:w="0" w:type="dxa"/>
          <w:right w:w="108" w:type="dxa"/>
        </w:tblCellMar>
        <w:tblLook w:val="04a0"/>
      </w:tblPr>
      <w:tblGrid>
        <w:gridCol w:w="4287"/>
        <w:gridCol w:w="2650"/>
        <w:gridCol w:w="2650"/>
      </w:tblGrid>
      <w:tr>
        <w:trPr/>
        <w:tc>
          <w:tcPr>
            <w:tcW w:w="428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p>
            <w:pPr>
              <w:pStyle w:val="Normal"/>
              <w:widowControl w:val="false"/>
              <w:ind w:hanging="0"/>
              <w:jc w:val="center"/>
              <w:rPr>
                <w:rFonts w:eastAsia="Times New Roman"/>
                <w:sz w:val="26"/>
                <w:szCs w:val="26"/>
                <w:lang w:eastAsia="ru-RU"/>
              </w:rPr>
            </w:pPr>
            <w:r>
              <w:rPr>
                <w:rFonts w:eastAsia="Times New Roman"/>
                <w:sz w:val="26"/>
                <w:szCs w:val="26"/>
                <w:lang w:eastAsia="ru-RU"/>
              </w:rPr>
            </w:r>
          </w:p>
        </w:tc>
        <w:tc>
          <w:tcPr>
            <w:tcW w:w="265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sz w:val="26"/>
                <w:szCs w:val="26"/>
              </w:rPr>
            </w:pPr>
            <w:r>
              <w:rPr>
                <w:rFonts w:eastAsia="Times New Roman"/>
                <w:sz w:val="26"/>
                <w:szCs w:val="26"/>
                <w:lang w:val="en-US" w:eastAsia="ru-RU"/>
              </w:rPr>
              <w:t>Max</w:t>
            </w:r>
            <w:r>
              <w:rPr>
                <w:rFonts w:eastAsia="Times New Roman"/>
                <w:sz w:val="26"/>
                <w:szCs w:val="26"/>
                <w:lang w:eastAsia="ru-RU"/>
              </w:rPr>
              <w:t xml:space="preserve"> производительность подпиточных насосов, м</w:t>
            </w:r>
            <w:r>
              <w:rPr>
                <w:rFonts w:eastAsia="Times New Roman"/>
                <w:sz w:val="26"/>
                <w:szCs w:val="26"/>
                <w:vertAlign w:val="superscript"/>
                <w:lang w:eastAsia="ru-RU"/>
              </w:rPr>
              <w:t>3</w:t>
            </w:r>
            <w:r>
              <w:rPr>
                <w:rFonts w:eastAsia="Times New Roman"/>
                <w:sz w:val="26"/>
                <w:szCs w:val="26"/>
                <w:lang w:eastAsia="ru-RU"/>
              </w:rPr>
              <w:t>/час</w:t>
            </w:r>
          </w:p>
        </w:tc>
        <w:tc>
          <w:tcPr>
            <w:tcW w:w="265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sz w:val="26"/>
                <w:szCs w:val="26"/>
              </w:rPr>
            </w:pPr>
            <w:r>
              <w:rPr>
                <w:rFonts w:eastAsia="Times New Roman"/>
                <w:sz w:val="26"/>
                <w:szCs w:val="26"/>
                <w:lang w:val="en-US" w:eastAsia="ru-RU"/>
              </w:rPr>
              <w:t>Max</w:t>
            </w:r>
            <w:r>
              <w:rPr>
                <w:rFonts w:eastAsia="Times New Roman"/>
                <w:sz w:val="26"/>
                <w:szCs w:val="26"/>
                <w:lang w:eastAsia="ru-RU"/>
              </w:rPr>
              <w:t xml:space="preserve"> производительность ВПУ</w:t>
            </w:r>
          </w:p>
        </w:tc>
      </w:tr>
      <w:tr>
        <w:trPr/>
        <w:tc>
          <w:tcPr>
            <w:tcW w:w="428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sz w:val="26"/>
                <w:szCs w:val="26"/>
              </w:rPr>
            </w:pPr>
            <w:r>
              <w:rPr>
                <w:rFonts w:eastAsia="Times New Roman"/>
                <w:sz w:val="26"/>
                <w:szCs w:val="26"/>
                <w:lang w:eastAsia="ru-RU"/>
              </w:rPr>
              <w:t>Котельная , пер. Школьный 1а</w:t>
            </w:r>
          </w:p>
        </w:tc>
        <w:tc>
          <w:tcPr>
            <w:tcW w:w="265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b/>
                <w:sz w:val="26"/>
                <w:szCs w:val="26"/>
                <w:lang w:eastAsia="ru-RU"/>
              </w:rPr>
              <w:t>-</w:t>
            </w:r>
          </w:p>
        </w:tc>
        <w:tc>
          <w:tcPr>
            <w:tcW w:w="265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sz w:val="26"/>
                <w:szCs w:val="26"/>
              </w:rPr>
            </w:pPr>
            <w:r>
              <w:rPr>
                <w:rFonts w:eastAsia="Times New Roman"/>
                <w:b/>
                <w:sz w:val="26"/>
                <w:szCs w:val="26"/>
                <w:lang w:eastAsia="ru-RU"/>
              </w:rPr>
              <w:t>-</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b/>
          <w:sz w:val="26"/>
          <w:szCs w:val="26"/>
          <w:lang w:eastAsia="ru-RU"/>
        </w:rPr>
        <w:tab/>
        <w:t>Раздел 5. Предложения по новому строительству, реконструкции и техническому перевооружению источников тепловой энергии.</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sz w:val="26"/>
          <w:szCs w:val="26"/>
          <w:lang w:eastAsia="ru-RU"/>
        </w:rPr>
        <w:tab/>
        <w:t>5.1.Предложения по новому строительству источников тепловой энергии, обеспечивающих перспективную тепловую нагрузку на вновь осваиваемых территориях поселения.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 xml:space="preserve">Учитывая, что Генеральным планом </w:t>
      </w:r>
      <w:r>
        <w:rPr>
          <w:sz w:val="26"/>
          <w:szCs w:val="26"/>
        </w:rPr>
        <w:t>Доможаковского</w:t>
      </w:r>
      <w:r>
        <w:rPr>
          <w:rFonts w:eastAsia="Times New Roman"/>
          <w:sz w:val="26"/>
          <w:szCs w:val="26"/>
          <w:lang w:eastAsia="ru-RU"/>
        </w:rPr>
        <w:t xml:space="preserve"> сельсовета не предусмотрено изменение схемы теплоснабжения поселения, теплоснабжение перспективных объектов, которые планируется разместить вне зоны действия существующих котельных, предлагается осуществить от автономных источников. Поэтому новое строительство котельных не планируется. </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sz w:val="26"/>
          <w:szCs w:val="26"/>
          <w:lang w:eastAsia="ru-RU"/>
        </w:rPr>
        <w:tab/>
        <w:t>5.2.Предложения по техническому перевооружению источников тепловой энергии с целью повышения эффективности работы систем теплоснабжения.</w:t>
      </w:r>
    </w:p>
    <w:p>
      <w:pPr>
        <w:pStyle w:val="Normal"/>
        <w:ind w:firstLine="850"/>
        <w:jc w:val="both"/>
        <w:rPr>
          <w:sz w:val="26"/>
          <w:szCs w:val="26"/>
        </w:rPr>
      </w:pPr>
      <w:r>
        <w:rPr>
          <w:rFonts w:eastAsia="Times New Roman"/>
          <w:sz w:val="26"/>
          <w:szCs w:val="26"/>
          <w:lang w:eastAsia="ru-RU"/>
        </w:rPr>
        <w:t>В 2026 году планируются следующие мероприятия по капитальному ремонту котельной и котельного оборудования:</w:t>
      </w:r>
    </w:p>
    <w:p>
      <w:pPr>
        <w:pStyle w:val="Normal"/>
        <w:ind w:hanging="0"/>
        <w:jc w:val="right"/>
        <w:rPr>
          <w:sz w:val="26"/>
          <w:szCs w:val="26"/>
        </w:rPr>
      </w:pPr>
      <w:r>
        <w:rPr>
          <w:rFonts w:eastAsia="Times New Roman"/>
          <w:sz w:val="26"/>
          <w:szCs w:val="26"/>
          <w:lang w:eastAsia="ru-RU"/>
        </w:rPr>
        <w:t>Таблица 18</w:t>
      </w:r>
    </w:p>
    <w:tbl>
      <w:tblPr>
        <w:tblW w:w="9886" w:type="dxa"/>
        <w:jc w:val="left"/>
        <w:tblInd w:w="0" w:type="dxa"/>
        <w:tblLayout w:type="fixed"/>
        <w:tblCellMar>
          <w:top w:w="0" w:type="dxa"/>
          <w:left w:w="103" w:type="dxa"/>
          <w:bottom w:w="0" w:type="dxa"/>
          <w:right w:w="108" w:type="dxa"/>
        </w:tblCellMar>
        <w:tblLook w:val="01e0"/>
      </w:tblPr>
      <w:tblGrid>
        <w:gridCol w:w="953"/>
        <w:gridCol w:w="3556"/>
        <w:gridCol w:w="1561"/>
        <w:gridCol w:w="3815"/>
      </w:tblGrid>
      <w:tr>
        <w:trPr>
          <w:trHeight w:val="129" w:hRule="atLeast"/>
        </w:trPr>
        <w:tc>
          <w:tcPr>
            <w:tcW w:w="9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 xml:space="preserve">№ </w:t>
            </w:r>
            <w:r>
              <w:rPr>
                <w:rFonts w:eastAsia="Times New Roman"/>
                <w:sz w:val="26"/>
                <w:szCs w:val="26"/>
                <w:lang w:eastAsia="ru-RU"/>
              </w:rPr>
              <w:t>п/п</w:t>
            </w:r>
          </w:p>
        </w:tc>
        <w:tc>
          <w:tcPr>
            <w:tcW w:w="35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Адрес объекта/</w:t>
            </w:r>
          </w:p>
          <w:p>
            <w:pPr>
              <w:pStyle w:val="Normal"/>
              <w:widowControl w:val="false"/>
              <w:ind w:hanging="0"/>
              <w:jc w:val="both"/>
              <w:rPr>
                <w:sz w:val="26"/>
                <w:szCs w:val="26"/>
              </w:rPr>
            </w:pPr>
            <w:r>
              <w:rPr>
                <w:rFonts w:eastAsia="Times New Roman"/>
                <w:sz w:val="26"/>
                <w:szCs w:val="26"/>
                <w:lang w:eastAsia="ru-RU"/>
              </w:rPr>
              <w:t>мероприятия</w:t>
            </w:r>
          </w:p>
        </w:tc>
        <w:tc>
          <w:tcPr>
            <w:tcW w:w="156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Ед. изм.</w:t>
            </w:r>
          </w:p>
        </w:tc>
        <w:tc>
          <w:tcPr>
            <w:tcW w:w="38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Цели реализации мероприятия</w:t>
            </w:r>
          </w:p>
        </w:tc>
      </w:tr>
      <w:tr>
        <w:trPr>
          <w:trHeight w:val="68" w:hRule="atLeast"/>
        </w:trPr>
        <w:tc>
          <w:tcPr>
            <w:tcW w:w="9885" w:type="dxa"/>
            <w:gridSpan w:val="4"/>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Мероприятия по капитальному ремонту объектов теплоснабжения</w:t>
            </w:r>
          </w:p>
        </w:tc>
      </w:tr>
      <w:tr>
        <w:trPr>
          <w:trHeight w:val="68" w:hRule="atLeast"/>
        </w:trPr>
        <w:tc>
          <w:tcPr>
            <w:tcW w:w="9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1.</w:t>
            </w:r>
          </w:p>
        </w:tc>
        <w:tc>
          <w:tcPr>
            <w:tcW w:w="35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Котельная, пер. Школьный 1а</w:t>
            </w:r>
          </w:p>
        </w:tc>
        <w:tc>
          <w:tcPr>
            <w:tcW w:w="156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6"/>
                <w:szCs w:val="26"/>
                <w:lang w:eastAsia="ru-RU"/>
              </w:rPr>
            </w:pPr>
            <w:r>
              <w:rPr>
                <w:rFonts w:eastAsia="Times New Roman"/>
                <w:sz w:val="26"/>
                <w:szCs w:val="26"/>
                <w:lang w:eastAsia="ru-RU"/>
              </w:rPr>
            </w:r>
          </w:p>
        </w:tc>
        <w:tc>
          <w:tcPr>
            <w:tcW w:w="38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6"/>
                <w:szCs w:val="26"/>
                <w:lang w:eastAsia="ru-RU"/>
              </w:rPr>
            </w:pPr>
            <w:r>
              <w:rPr>
                <w:rFonts w:eastAsia="Times New Roman"/>
                <w:sz w:val="26"/>
                <w:szCs w:val="26"/>
                <w:lang w:eastAsia="ru-RU"/>
              </w:rPr>
            </w:r>
          </w:p>
        </w:tc>
      </w:tr>
      <w:tr>
        <w:trPr>
          <w:trHeight w:val="461" w:hRule="atLeast"/>
        </w:trPr>
        <w:tc>
          <w:tcPr>
            <w:tcW w:w="9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1.1</w:t>
            </w:r>
          </w:p>
        </w:tc>
        <w:tc>
          <w:tcPr>
            <w:tcW w:w="3556"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ind w:hanging="0"/>
              <w:jc w:val="both"/>
              <w:rPr>
                <w:sz w:val="26"/>
                <w:szCs w:val="26"/>
              </w:rPr>
            </w:pPr>
            <w:r>
              <w:rPr>
                <w:rFonts w:eastAsia="Times New Roman"/>
                <w:sz w:val="26"/>
                <w:szCs w:val="26"/>
                <w:lang w:eastAsia="ru-RU"/>
              </w:rPr>
              <w:t>1. Экспертиза дымовой трубы котельной аала Доможаков</w:t>
            </w:r>
          </w:p>
        </w:tc>
        <w:tc>
          <w:tcPr>
            <w:tcW w:w="156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1 шт.</w:t>
            </w:r>
          </w:p>
          <w:p>
            <w:pPr>
              <w:pStyle w:val="Normal"/>
              <w:widowControl w:val="false"/>
              <w:ind w:hanging="0"/>
              <w:jc w:val="center"/>
              <w:rPr>
                <w:rFonts w:eastAsia="Times New Roman"/>
                <w:sz w:val="26"/>
                <w:szCs w:val="26"/>
                <w:lang w:eastAsia="ru-RU"/>
              </w:rPr>
            </w:pPr>
            <w:r>
              <w:rPr>
                <w:rFonts w:eastAsia="Times New Roman"/>
                <w:sz w:val="26"/>
                <w:szCs w:val="26"/>
                <w:lang w:eastAsia="ru-RU"/>
              </w:rPr>
            </w:r>
          </w:p>
          <w:p>
            <w:pPr>
              <w:pStyle w:val="Normal"/>
              <w:widowControl w:val="false"/>
              <w:ind w:hanging="0"/>
              <w:jc w:val="center"/>
              <w:rPr>
                <w:rFonts w:eastAsia="Times New Roman"/>
                <w:sz w:val="26"/>
                <w:szCs w:val="26"/>
                <w:lang w:eastAsia="ru-RU"/>
              </w:rPr>
            </w:pPr>
            <w:r>
              <w:rPr>
                <w:rFonts w:eastAsia="Times New Roman"/>
                <w:sz w:val="26"/>
                <w:szCs w:val="26"/>
                <w:lang w:eastAsia="ru-RU"/>
              </w:rPr>
            </w:r>
          </w:p>
          <w:p>
            <w:pPr>
              <w:pStyle w:val="Normal"/>
              <w:widowControl w:val="false"/>
              <w:ind w:hanging="0"/>
              <w:jc w:val="center"/>
              <w:rPr>
                <w:rFonts w:eastAsia="Times New Roman"/>
                <w:sz w:val="26"/>
                <w:szCs w:val="26"/>
                <w:lang w:eastAsia="ru-RU"/>
              </w:rPr>
            </w:pPr>
            <w:r>
              <w:rPr>
                <w:rFonts w:eastAsia="Times New Roman"/>
                <w:sz w:val="26"/>
                <w:szCs w:val="26"/>
                <w:lang w:eastAsia="ru-RU"/>
              </w:rPr>
            </w:r>
          </w:p>
        </w:tc>
        <w:tc>
          <w:tcPr>
            <w:tcW w:w="38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6"/>
                <w:szCs w:val="26"/>
                <w:lang w:eastAsia="ru-RU"/>
              </w:rPr>
            </w:pPr>
            <w:r>
              <w:rPr>
                <w:rFonts w:eastAsia="Times New Roman"/>
                <w:sz w:val="26"/>
                <w:szCs w:val="26"/>
                <w:lang w:eastAsia="ru-RU"/>
              </w:rPr>
            </w:r>
          </w:p>
        </w:tc>
      </w:tr>
      <w:tr>
        <w:trPr>
          <w:trHeight w:val="461" w:hRule="atLeast"/>
        </w:trPr>
        <w:tc>
          <w:tcPr>
            <w:tcW w:w="9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sz w:val="26"/>
                <w:szCs w:val="26"/>
              </w:rPr>
              <w:t>2.1</w:t>
            </w:r>
          </w:p>
        </w:tc>
        <w:tc>
          <w:tcPr>
            <w:tcW w:w="3556"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ind w:hanging="0"/>
              <w:rPr>
                <w:sz w:val="26"/>
                <w:szCs w:val="26"/>
              </w:rPr>
            </w:pPr>
            <w:r>
              <w:rPr>
                <w:rFonts w:eastAsia="Times New Roman"/>
                <w:sz w:val="26"/>
                <w:szCs w:val="26"/>
              </w:rPr>
              <w:t>2.Профилактическое испытание электрооборудования котельной</w:t>
            </w:r>
          </w:p>
        </w:tc>
        <w:tc>
          <w:tcPr>
            <w:tcW w:w="156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6"/>
                <w:szCs w:val="26"/>
              </w:rPr>
            </w:pPr>
            <w:r>
              <w:rPr>
                <w:sz w:val="26"/>
                <w:szCs w:val="26"/>
              </w:rPr>
              <w:t>1шт.</w:t>
            </w:r>
          </w:p>
        </w:tc>
        <w:tc>
          <w:tcPr>
            <w:tcW w:w="38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6"/>
                <w:szCs w:val="26"/>
              </w:rPr>
            </w:pPr>
            <w:r>
              <w:rPr>
                <w:sz w:val="26"/>
                <w:szCs w:val="26"/>
              </w:rPr>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 xml:space="preserve">В 2024 году выполнена экспертиза здания котельной, мероприятия по реконструкции и техническому перевооружению котельной аала Доможаков не проводились. </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5.3.Меры по выводу из эксплуатации, консервации и демонтажу избыточных источников тепловой энергии, а также выработавших нормативный срок службы либо в случаях, когда продление срока службы технически невозможно или экономически нецелесообразно.</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794"/>
        <w:jc w:val="both"/>
        <w:rPr>
          <w:sz w:val="26"/>
          <w:szCs w:val="26"/>
        </w:rPr>
      </w:pPr>
      <w:r>
        <w:rPr>
          <w:rFonts w:eastAsia="Times New Roman"/>
          <w:sz w:val="26"/>
          <w:szCs w:val="26"/>
          <w:lang w:eastAsia="ru-RU"/>
        </w:rPr>
        <w:t>Вывод из эксплуатации котельной не планируется.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5.4.Меры по переоборудованию котельных в источники комбинированной выработки электрической и тепловой энергии.</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794"/>
        <w:jc w:val="both"/>
        <w:rPr/>
      </w:pPr>
      <w:r>
        <w:rPr>
          <w:rFonts w:eastAsia="Times New Roman"/>
          <w:sz w:val="26"/>
          <w:szCs w:val="26"/>
          <w:lang w:eastAsia="ru-RU"/>
        </w:rPr>
        <w:t xml:space="preserve">В соответствии с Генеральным планом </w:t>
      </w:r>
      <w:r>
        <w:rPr>
          <w:sz w:val="26"/>
          <w:szCs w:val="26"/>
        </w:rPr>
        <w:t>Доможаковского</w:t>
      </w:r>
      <w:r>
        <w:rPr>
          <w:rFonts w:eastAsia="Times New Roman"/>
          <w:sz w:val="26"/>
          <w:szCs w:val="26"/>
          <w:lang w:eastAsia="ru-RU"/>
        </w:rPr>
        <w:t xml:space="preserve"> сельсовета меры по переоборудованию котельных в источники комбинированной выработки электрической и тепловой энергии не предусмотрены.</w:t>
      </w:r>
    </w:p>
    <w:p>
      <w:pPr>
        <w:pStyle w:val="Normal"/>
        <w:ind w:hanging="0"/>
        <w:jc w:val="both"/>
        <w:rPr>
          <w:sz w:val="26"/>
          <w:szCs w:val="26"/>
        </w:rPr>
      </w:pPr>
      <w:r>
        <w:rPr>
          <w:rFonts w:eastAsia="Times New Roman"/>
          <w:sz w:val="26"/>
          <w:szCs w:val="26"/>
          <w:lang w:eastAsia="ru-RU"/>
        </w:rPr>
        <w:tab/>
        <w:t>5.5.Меры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На территории Доможаковского сельсовета отсутствуют котельные, размещенные в существующих и расширяемых зонах действия источников комбинированной выработки тепловой и электрической энергии. 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не предусмотрены.</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5.6.Решения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 xml:space="preserve">Учитывая, что Генеральным планом </w:t>
      </w:r>
      <w:r>
        <w:rPr>
          <w:sz w:val="26"/>
          <w:szCs w:val="26"/>
        </w:rPr>
        <w:t>Доможаковского</w:t>
      </w:r>
      <w:r>
        <w:rPr>
          <w:rFonts w:eastAsia="Times New Roman"/>
          <w:sz w:val="26"/>
          <w:szCs w:val="26"/>
          <w:lang w:eastAsia="ru-RU"/>
        </w:rPr>
        <w:t xml:space="preserve"> сельсовета не предусмотрено изменение схемы теплоснабжения поселения, 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 будут иметь следующий вид:</w:t>
      </w:r>
    </w:p>
    <w:p>
      <w:pPr>
        <w:pStyle w:val="Normal"/>
        <w:ind w:hanging="0"/>
        <w:jc w:val="right"/>
        <w:rPr>
          <w:sz w:val="26"/>
          <w:szCs w:val="26"/>
        </w:rPr>
      </w:pPr>
      <w:r>
        <w:rPr>
          <w:rFonts w:eastAsia="Times New Roman"/>
          <w:sz w:val="26"/>
          <w:szCs w:val="26"/>
          <w:lang w:eastAsia="ru-RU"/>
        </w:rPr>
        <w:t>Таблица 20</w:t>
      </w:r>
    </w:p>
    <w:tbl>
      <w:tblPr>
        <w:tblW w:w="9924" w:type="dxa"/>
        <w:jc w:val="left"/>
        <w:tblInd w:w="111" w:type="dxa"/>
        <w:tblLayout w:type="fixed"/>
        <w:tblCellMar>
          <w:top w:w="0" w:type="dxa"/>
          <w:left w:w="103" w:type="dxa"/>
          <w:bottom w:w="0" w:type="dxa"/>
          <w:right w:w="108" w:type="dxa"/>
        </w:tblCellMar>
        <w:tblLook w:val="01e0"/>
      </w:tblPr>
      <w:tblGrid>
        <w:gridCol w:w="723"/>
        <w:gridCol w:w="4056"/>
        <w:gridCol w:w="2589"/>
        <w:gridCol w:w="2555"/>
      </w:tblGrid>
      <w:tr>
        <w:trPr>
          <w:trHeight w:val="901" w:hRule="atLeast"/>
        </w:trPr>
        <w:tc>
          <w:tcPr>
            <w:tcW w:w="72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 xml:space="preserve">№ </w:t>
            </w:r>
            <w:r>
              <w:rPr>
                <w:rFonts w:eastAsia="Times New Roman"/>
                <w:sz w:val="26"/>
                <w:szCs w:val="26"/>
                <w:lang w:eastAsia="ru-RU"/>
              </w:rPr>
              <w:t>п/п</w:t>
            </w:r>
          </w:p>
        </w:tc>
        <w:tc>
          <w:tcPr>
            <w:tcW w:w="40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Наименование котельной</w:t>
            </w:r>
          </w:p>
        </w:tc>
        <w:tc>
          <w:tcPr>
            <w:tcW w:w="258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Установленная мощность, Гкал/час</w:t>
            </w:r>
          </w:p>
        </w:tc>
        <w:tc>
          <w:tcPr>
            <w:tcW w:w="255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Подключенная нагрузка, Гкал/час</w:t>
            </w:r>
          </w:p>
        </w:tc>
      </w:tr>
      <w:tr>
        <w:trPr>
          <w:trHeight w:val="295" w:hRule="atLeast"/>
        </w:trPr>
        <w:tc>
          <w:tcPr>
            <w:tcW w:w="72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1.</w:t>
            </w:r>
          </w:p>
        </w:tc>
        <w:tc>
          <w:tcPr>
            <w:tcW w:w="40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Котельная, пер.Школьный 1а</w:t>
            </w:r>
          </w:p>
        </w:tc>
        <w:tc>
          <w:tcPr>
            <w:tcW w:w="258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3,0</w:t>
            </w:r>
          </w:p>
        </w:tc>
        <w:tc>
          <w:tcPr>
            <w:tcW w:w="255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0,479</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5.7.Оптимальный температурный график отпуска тепловой энергии для каждого источника тепловой энергии или группы источников в системе теплоснабжения.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 xml:space="preserve">Оптимальный температурный график отпуска тепловой энергии для каждого источника тепловой энергии в системе теплоснабжения в соответствии с действующим законодательством разрабатывается в процессе проведения энергетического обследования источника тепловой энергии, тепловых сетей, потребителей тепловой энергии. </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center"/>
        <w:rPr>
          <w:sz w:val="26"/>
          <w:szCs w:val="26"/>
        </w:rPr>
      </w:pPr>
      <w:r>
        <w:rPr>
          <w:rFonts w:eastAsia="Times New Roman"/>
          <w:sz w:val="26"/>
          <w:szCs w:val="26"/>
          <w:lang w:eastAsia="ru-RU"/>
        </w:rPr>
        <w:t>Температурный график</w:t>
      </w:r>
    </w:p>
    <w:p>
      <w:pPr>
        <w:pStyle w:val="Normal"/>
        <w:ind w:hanging="0"/>
        <w:jc w:val="center"/>
        <w:rPr>
          <w:sz w:val="26"/>
          <w:szCs w:val="26"/>
        </w:rPr>
      </w:pPr>
      <w:r>
        <w:rPr>
          <w:rFonts w:eastAsia="Times New Roman"/>
          <w:sz w:val="26"/>
          <w:szCs w:val="26"/>
          <w:lang w:eastAsia="ru-RU"/>
        </w:rPr>
        <w:t>(отопительный) по котельной</w:t>
      </w:r>
    </w:p>
    <w:p>
      <w:pPr>
        <w:pStyle w:val="Normal"/>
        <w:ind w:hanging="0"/>
        <w:jc w:val="right"/>
        <w:rPr>
          <w:sz w:val="26"/>
          <w:szCs w:val="26"/>
        </w:rPr>
      </w:pPr>
      <w:r>
        <w:rPr>
          <w:rFonts w:eastAsia="Times New Roman"/>
          <w:sz w:val="26"/>
          <w:szCs w:val="26"/>
          <w:lang w:eastAsia="ru-RU"/>
        </w:rPr>
        <w:t>Таблица 21</w:t>
      </w:r>
    </w:p>
    <w:p>
      <w:pPr>
        <w:pStyle w:val="Normal"/>
        <w:ind w:hanging="0"/>
        <w:jc w:val="right"/>
        <w:rPr>
          <w:rFonts w:eastAsia="Times New Roman"/>
          <w:sz w:val="26"/>
          <w:szCs w:val="26"/>
          <w:highlight w:val="yellow"/>
          <w:lang w:eastAsia="ru-RU"/>
        </w:rPr>
      </w:pPr>
      <w:r>
        <w:rPr>
          <w:rFonts w:eastAsia="Times New Roman"/>
          <w:sz w:val="26"/>
          <w:szCs w:val="26"/>
          <w:highlight w:val="yellow"/>
          <w:lang w:eastAsia="ru-RU"/>
        </w:rPr>
      </w:r>
    </w:p>
    <w:tbl>
      <w:tblPr>
        <w:tblW w:w="9594" w:type="dxa"/>
        <w:jc w:val="left"/>
        <w:tblInd w:w="113" w:type="dxa"/>
        <w:tblLayout w:type="fixed"/>
        <w:tblCellMar>
          <w:top w:w="0" w:type="dxa"/>
          <w:left w:w="98" w:type="dxa"/>
          <w:bottom w:w="0" w:type="dxa"/>
          <w:right w:w="108" w:type="dxa"/>
        </w:tblCellMar>
        <w:tblLook w:val="04a0"/>
      </w:tblPr>
      <w:tblGrid>
        <w:gridCol w:w="2126"/>
        <w:gridCol w:w="3734"/>
        <w:gridCol w:w="3734"/>
      </w:tblGrid>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tн, ºС</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t1, ºС</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t2, ºС</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10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56,7</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8</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56,0</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55,3</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54,7</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2</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54,0</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53,3</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-2</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52,7</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52,0</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51,3</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-8</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50,7</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-10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50,0</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-12</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49,3</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-14</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48,7</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-16</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48,0</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-18</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47,3</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-20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46,7</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-22</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61,1</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47,1</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-24</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62,7</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48,0</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-26</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64,2</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48,9</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-28</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65,8</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49,8</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-30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67,4</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50,7</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-32</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68,9</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51,6</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-34</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70,4</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52,4</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-36</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72,0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53,3</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-38</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73,5</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54,2</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75,0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55,0</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tн, ºС</w:t>
            </w:r>
          </w:p>
        </w:tc>
        <w:tc>
          <w:tcPr>
            <w:tcW w:w="7468" w:type="dxa"/>
            <w:gridSpan w:val="2"/>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sz w:val="26"/>
                <w:szCs w:val="26"/>
              </w:rPr>
            </w:pPr>
            <w:r>
              <w:rPr>
                <w:rFonts w:eastAsia="Times New Roman"/>
                <w:sz w:val="26"/>
                <w:szCs w:val="26"/>
                <w:lang w:eastAsia="ru-RU"/>
              </w:rPr>
              <w:t>Температура наружного воздуха</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t1, ºС</w:t>
            </w:r>
          </w:p>
        </w:tc>
        <w:tc>
          <w:tcPr>
            <w:tcW w:w="7468" w:type="dxa"/>
            <w:gridSpan w:val="2"/>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sz w:val="26"/>
                <w:szCs w:val="26"/>
              </w:rPr>
            </w:pPr>
            <w:r>
              <w:rPr>
                <w:rFonts w:eastAsia="Times New Roman"/>
                <w:sz w:val="26"/>
                <w:szCs w:val="26"/>
                <w:lang w:eastAsia="ru-RU"/>
              </w:rPr>
              <w:t>Температура подающего трубопровода</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t2, ºС</w:t>
            </w:r>
          </w:p>
        </w:tc>
        <w:tc>
          <w:tcPr>
            <w:tcW w:w="7468" w:type="dxa"/>
            <w:gridSpan w:val="2"/>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sz w:val="26"/>
                <w:szCs w:val="26"/>
              </w:rPr>
            </w:pPr>
            <w:r>
              <w:rPr>
                <w:rFonts w:eastAsia="Times New Roman"/>
                <w:sz w:val="26"/>
                <w:szCs w:val="26"/>
                <w:lang w:eastAsia="ru-RU"/>
              </w:rPr>
              <w:t>Температура обратного трубопровода</w:t>
            </w:r>
          </w:p>
        </w:tc>
      </w:tr>
    </w:tbl>
    <w:p>
      <w:pPr>
        <w:pStyle w:val="Normal"/>
        <w:ind w:hanging="0"/>
        <w:jc w:val="center"/>
        <w:rPr>
          <w:rFonts w:eastAsia="Times New Roman"/>
          <w:sz w:val="26"/>
          <w:szCs w:val="26"/>
          <w:highlight w:val="yellow"/>
          <w:lang w:eastAsia="ru-RU"/>
        </w:rPr>
      </w:pPr>
      <w:r>
        <w:rPr>
          <w:rFonts w:eastAsia="Times New Roman"/>
          <w:sz w:val="26"/>
          <w:szCs w:val="26"/>
          <w:highlight w:val="yellow"/>
          <w:lang w:eastAsia="ru-RU"/>
        </w:rPr>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5.8.Предложения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w:t>
      </w:r>
    </w:p>
    <w:p>
      <w:pPr>
        <w:pStyle w:val="Normal"/>
        <w:ind w:hanging="0"/>
        <w:jc w:val="right"/>
        <w:rPr>
          <w:sz w:val="26"/>
          <w:szCs w:val="26"/>
        </w:rPr>
      </w:pPr>
      <w:r>
        <w:rPr>
          <w:rFonts w:eastAsia="Times New Roman"/>
          <w:sz w:val="26"/>
          <w:szCs w:val="26"/>
          <w:lang w:eastAsia="ru-RU"/>
        </w:rPr>
        <w:t>Таблица 22</w:t>
      </w:r>
    </w:p>
    <w:tbl>
      <w:tblPr>
        <w:tblW w:w="9943" w:type="dxa"/>
        <w:jc w:val="left"/>
        <w:tblInd w:w="0" w:type="dxa"/>
        <w:tblLayout w:type="fixed"/>
        <w:tblCellMar>
          <w:top w:w="0" w:type="dxa"/>
          <w:left w:w="103" w:type="dxa"/>
          <w:bottom w:w="0" w:type="dxa"/>
          <w:right w:w="108" w:type="dxa"/>
        </w:tblCellMar>
        <w:tblLook w:val="01e0"/>
      </w:tblPr>
      <w:tblGrid>
        <w:gridCol w:w="824"/>
        <w:gridCol w:w="4024"/>
        <w:gridCol w:w="2555"/>
        <w:gridCol w:w="2539"/>
      </w:tblGrid>
      <w:tr>
        <w:trPr>
          <w:trHeight w:val="1189" w:hRule="atLeast"/>
        </w:trPr>
        <w:tc>
          <w:tcPr>
            <w:tcW w:w="8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 xml:space="preserve">№ </w:t>
            </w:r>
            <w:r>
              <w:rPr>
                <w:rFonts w:eastAsia="Times New Roman"/>
                <w:sz w:val="26"/>
                <w:szCs w:val="26"/>
                <w:lang w:eastAsia="ru-RU"/>
              </w:rPr>
              <w:t>п/п</w:t>
            </w:r>
          </w:p>
        </w:tc>
        <w:tc>
          <w:tcPr>
            <w:tcW w:w="40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Наименование котельной</w:t>
            </w:r>
          </w:p>
        </w:tc>
        <w:tc>
          <w:tcPr>
            <w:tcW w:w="255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Установленная мощность, Гкал/час</w:t>
            </w:r>
          </w:p>
        </w:tc>
        <w:tc>
          <w:tcPr>
            <w:tcW w:w="253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Предложения по перспективной тепловой мощности, Гкал/час</w:t>
            </w:r>
          </w:p>
        </w:tc>
      </w:tr>
      <w:tr>
        <w:trPr>
          <w:trHeight w:val="227" w:hRule="atLeast"/>
        </w:trPr>
        <w:tc>
          <w:tcPr>
            <w:tcW w:w="8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1.</w:t>
            </w:r>
          </w:p>
        </w:tc>
        <w:tc>
          <w:tcPr>
            <w:tcW w:w="40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Котельная, пер.Школьный 1а</w:t>
            </w:r>
          </w:p>
        </w:tc>
        <w:tc>
          <w:tcPr>
            <w:tcW w:w="255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3,0</w:t>
            </w:r>
          </w:p>
        </w:tc>
        <w:tc>
          <w:tcPr>
            <w:tcW w:w="253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3,0</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b/>
          <w:sz w:val="26"/>
          <w:szCs w:val="26"/>
          <w:lang w:eastAsia="ru-RU"/>
        </w:rPr>
        <w:tab/>
        <w:t>Раздел 6. Предложения по новому строительству и реконструкции тепловых сетей.</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sz w:val="26"/>
          <w:szCs w:val="26"/>
          <w:lang w:eastAsia="ru-RU"/>
        </w:rPr>
        <w:tab/>
        <w:t>6.1.Предложения по новому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pPr>
        <w:pStyle w:val="Normal"/>
        <w:ind w:firstLine="850"/>
        <w:jc w:val="both"/>
        <w:rPr>
          <w:sz w:val="26"/>
          <w:szCs w:val="26"/>
        </w:rPr>
      </w:pPr>
      <w:r>
        <w:rPr>
          <w:rFonts w:eastAsia="Times New Roman"/>
          <w:sz w:val="26"/>
          <w:szCs w:val="26"/>
          <w:lang w:eastAsia="ru-RU"/>
        </w:rPr>
        <w:t xml:space="preserve">Учитывая, что Генеральным планом </w:t>
      </w:r>
      <w:r>
        <w:rPr>
          <w:sz w:val="26"/>
          <w:szCs w:val="26"/>
        </w:rPr>
        <w:t>Доможаковского</w:t>
      </w:r>
      <w:r>
        <w:rPr>
          <w:rFonts w:eastAsia="Times New Roman"/>
          <w:sz w:val="26"/>
          <w:szCs w:val="26"/>
          <w:lang w:eastAsia="ru-RU"/>
        </w:rPr>
        <w:t xml:space="preserve"> сельсовета поселения не предусмотрено изменение схемы теплоснабжения,  новое строительство тепловых сетей не планируется. Перераспределение тепловой нагрузки не планируется.</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sz w:val="26"/>
          <w:szCs w:val="26"/>
          <w:lang w:eastAsia="ru-RU"/>
        </w:rPr>
        <w:tab/>
        <w:t>6.2.Предложения по новому строительству тепловых сетей для обеспечения перспективных приростов тепловой нагрузки во вновь осваиваемых районах поселения под жилищную, комплексную или производственную застройку.</w:t>
      </w:r>
    </w:p>
    <w:p>
      <w:pPr>
        <w:pStyle w:val="Normal"/>
        <w:ind w:firstLine="850"/>
        <w:jc w:val="both"/>
        <w:rPr>
          <w:sz w:val="26"/>
          <w:szCs w:val="26"/>
        </w:rPr>
      </w:pPr>
      <w:r>
        <w:rPr>
          <w:rFonts w:eastAsia="Times New Roman"/>
          <w:sz w:val="26"/>
          <w:szCs w:val="26"/>
          <w:lang w:eastAsia="ru-RU"/>
        </w:rPr>
        <w:t>Новое строительство тепловых сетей не планируется.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6.3. Предложения по новому строительству и реконструкции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 xml:space="preserve">Учитывая, что Генеральным планом </w:t>
      </w:r>
      <w:r>
        <w:rPr>
          <w:sz w:val="26"/>
          <w:szCs w:val="26"/>
        </w:rPr>
        <w:t>Доможаковского</w:t>
      </w:r>
      <w:r>
        <w:rPr>
          <w:rFonts w:eastAsia="Times New Roman"/>
          <w:sz w:val="26"/>
          <w:szCs w:val="26"/>
          <w:lang w:eastAsia="ru-RU"/>
        </w:rPr>
        <w:t xml:space="preserve"> сельсовета не предусмотрено изменение схемы теплоснабжения поселения, поэтому новое строительство тепловых сетей не планируется. Реконструкция тепловых сетей, обеспечивающая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также не предусмотрена.</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6.4.Предложения по новому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или ликвидации котельных по основаниям.</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Новое строительство или реконструкция тепловых сетей для повышения эффективности функционирования системы теплоснабжения, в том числе за счет перевода котельных в «пиковый» режим не планируется.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 xml:space="preserve">6.5. Предложения по новому строительству и реконструкции тепловых сетей для обеспечения нормативной надежности безопасности теплоснабжения. </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firstLine="850"/>
        <w:jc w:val="both"/>
        <w:rPr>
          <w:sz w:val="26"/>
          <w:szCs w:val="26"/>
        </w:rPr>
      </w:pPr>
      <w:r>
        <w:rPr>
          <w:rFonts w:eastAsia="Times New Roman"/>
          <w:sz w:val="26"/>
          <w:szCs w:val="26"/>
          <w:lang w:eastAsia="ru-RU"/>
        </w:rPr>
        <w:t xml:space="preserve">Учитывая, что Генеральным планом </w:t>
      </w:r>
      <w:r>
        <w:rPr>
          <w:sz w:val="26"/>
          <w:szCs w:val="26"/>
        </w:rPr>
        <w:t>Доможаковского</w:t>
      </w:r>
      <w:r>
        <w:rPr>
          <w:rFonts w:eastAsia="Times New Roman"/>
          <w:sz w:val="26"/>
          <w:szCs w:val="26"/>
          <w:lang w:eastAsia="ru-RU"/>
        </w:rPr>
        <w:t xml:space="preserve"> сельсовета не предусмотрено изменение схемы теплоснабжения ,  новое строительство тепловых сетей не планируется. </w:t>
      </w:r>
    </w:p>
    <w:p>
      <w:pPr>
        <w:pStyle w:val="Normal"/>
        <w:ind w:firstLine="850"/>
        <w:jc w:val="both"/>
        <w:rPr/>
      </w:pPr>
      <w:r>
        <w:rPr>
          <w:rFonts w:eastAsia="Times New Roman"/>
          <w:color w:val="auto"/>
          <w:sz w:val="26"/>
          <w:szCs w:val="26"/>
          <w:lang w:eastAsia="zh-CN"/>
        </w:rPr>
        <w:t xml:space="preserve">В </w:t>
      </w:r>
      <w:r>
        <w:rPr>
          <w:rFonts w:eastAsia="Times New Roman"/>
          <w:sz w:val="26"/>
          <w:szCs w:val="26"/>
          <w:lang w:eastAsia="ru-RU"/>
        </w:rPr>
        <w:t>2025 году мероприятия по капитальному ремонту тепловых сетей не проводились.</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b/>
          <w:sz w:val="26"/>
          <w:szCs w:val="26"/>
          <w:lang w:eastAsia="ru-RU"/>
        </w:rPr>
        <w:tab/>
        <w:t>Раздел 7. Перспективные топливные балансы.</w:t>
      </w:r>
    </w:p>
    <w:p>
      <w:pPr>
        <w:pStyle w:val="Normal"/>
        <w:ind w:hanging="0"/>
        <w:jc w:val="both"/>
        <w:rPr>
          <w:sz w:val="26"/>
          <w:szCs w:val="26"/>
        </w:rPr>
      </w:pPr>
      <w:r>
        <w:rPr>
          <w:rFonts w:eastAsia="Times New Roman"/>
          <w:sz w:val="26"/>
          <w:szCs w:val="26"/>
          <w:lang w:eastAsia="ru-RU"/>
        </w:rPr>
        <w:t>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 на каждом этапе планируемого периода.</w:t>
      </w:r>
    </w:p>
    <w:p>
      <w:pPr>
        <w:pStyle w:val="Normal"/>
        <w:ind w:hanging="0"/>
        <w:jc w:val="both"/>
        <w:rPr>
          <w:sz w:val="26"/>
          <w:szCs w:val="26"/>
        </w:rPr>
      </w:pPr>
      <w:r>
        <w:rPr>
          <w:rFonts w:eastAsia="Times New Roman"/>
          <w:sz w:val="26"/>
          <w:szCs w:val="26"/>
          <w:lang w:eastAsia="ru-RU"/>
        </w:rPr>
        <w:tab/>
        <w:t>Существующие и 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w:t>
      </w:r>
    </w:p>
    <w:p>
      <w:pPr>
        <w:pStyle w:val="Normal"/>
        <w:ind w:hanging="0"/>
        <w:jc w:val="right"/>
        <w:rPr>
          <w:rFonts w:eastAsia="Times New Roman"/>
          <w:sz w:val="26"/>
          <w:szCs w:val="26"/>
          <w:lang w:eastAsia="ru-RU"/>
        </w:rPr>
      </w:pPr>
      <w:r>
        <w:rPr>
          <w:rFonts w:eastAsia="Times New Roman"/>
          <w:sz w:val="26"/>
          <w:szCs w:val="26"/>
          <w:lang w:eastAsia="ru-RU"/>
        </w:rPr>
      </w:r>
    </w:p>
    <w:p>
      <w:pPr>
        <w:pStyle w:val="Normal"/>
        <w:ind w:hanging="0"/>
        <w:jc w:val="right"/>
        <w:rPr>
          <w:rFonts w:eastAsia="Times New Roman"/>
          <w:sz w:val="26"/>
          <w:szCs w:val="26"/>
          <w:lang w:eastAsia="ru-RU"/>
        </w:rPr>
      </w:pPr>
      <w:r>
        <w:rPr>
          <w:rFonts w:eastAsia="Times New Roman"/>
          <w:sz w:val="26"/>
          <w:szCs w:val="26"/>
          <w:lang w:eastAsia="ru-RU"/>
        </w:rPr>
      </w:r>
    </w:p>
    <w:p>
      <w:pPr>
        <w:pStyle w:val="Normal"/>
        <w:ind w:hanging="0"/>
        <w:jc w:val="right"/>
        <w:rPr>
          <w:sz w:val="26"/>
          <w:szCs w:val="26"/>
        </w:rPr>
      </w:pPr>
      <w:r>
        <w:rPr>
          <w:rFonts w:eastAsia="Times New Roman"/>
          <w:sz w:val="26"/>
          <w:szCs w:val="26"/>
          <w:lang w:eastAsia="ru-RU"/>
        </w:rPr>
        <w:t>Таблица 23</w:t>
      </w:r>
    </w:p>
    <w:tbl>
      <w:tblPr>
        <w:tblpPr w:bottomFromText="0" w:horzAnchor="text" w:leftFromText="180" w:rightFromText="180" w:tblpX="0" w:tblpY="1" w:topFromText="0" w:vertAnchor="text"/>
        <w:tblW w:w="9962" w:type="dxa"/>
        <w:jc w:val="left"/>
        <w:tblInd w:w="73" w:type="dxa"/>
        <w:tblLayout w:type="fixed"/>
        <w:tblCellMar>
          <w:top w:w="0" w:type="dxa"/>
          <w:left w:w="73" w:type="dxa"/>
          <w:bottom w:w="0" w:type="dxa"/>
          <w:right w:w="108" w:type="dxa"/>
        </w:tblCellMar>
        <w:tblLook w:val="0000"/>
      </w:tblPr>
      <w:tblGrid>
        <w:gridCol w:w="1873"/>
        <w:gridCol w:w="1134"/>
        <w:gridCol w:w="1051"/>
        <w:gridCol w:w="1047"/>
        <w:gridCol w:w="1594"/>
        <w:gridCol w:w="1508"/>
        <w:gridCol w:w="1754"/>
      </w:tblGrid>
      <w:tr>
        <w:trPr>
          <w:trHeight w:val="108" w:hRule="atLeast"/>
        </w:trPr>
        <w:tc>
          <w:tcPr>
            <w:tcW w:w="1873"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Наименование котельной, адрес</w:t>
            </w:r>
          </w:p>
        </w:tc>
        <w:tc>
          <w:tcPr>
            <w:tcW w:w="4826" w:type="dxa"/>
            <w:gridSpan w:val="4"/>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Существующий баланс основного топлива (уголь)</w:t>
            </w:r>
          </w:p>
        </w:tc>
        <w:tc>
          <w:tcPr>
            <w:tcW w:w="150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Резервный вид топлива</w:t>
            </w:r>
          </w:p>
        </w:tc>
        <w:tc>
          <w:tcPr>
            <w:tcW w:w="17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Аварийный вид топлива</w:t>
            </w:r>
          </w:p>
        </w:tc>
      </w:tr>
      <w:tr>
        <w:trPr>
          <w:trHeight w:val="108" w:hRule="atLeast"/>
        </w:trPr>
        <w:tc>
          <w:tcPr>
            <w:tcW w:w="1873"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6"/>
                <w:szCs w:val="26"/>
                <w:lang w:eastAsia="ru-RU"/>
              </w:rPr>
            </w:pPr>
            <w:r>
              <w:rPr>
                <w:rFonts w:eastAsia="Times New Roman"/>
                <w:sz w:val="26"/>
                <w:szCs w:val="26"/>
                <w:lang w:eastAsia="ru-RU"/>
              </w:rPr>
            </w:r>
          </w:p>
        </w:tc>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Годовой расход, тыс. тонн</w:t>
            </w:r>
          </w:p>
        </w:tc>
        <w:tc>
          <w:tcPr>
            <w:tcW w:w="10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Зимний период,  тыс. тонн</w:t>
            </w:r>
          </w:p>
        </w:tc>
        <w:tc>
          <w:tcPr>
            <w:tcW w:w="1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Летний период,  тыс. тонн</w:t>
            </w:r>
          </w:p>
        </w:tc>
        <w:tc>
          <w:tcPr>
            <w:tcW w:w="15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Переходный период,  тыс. тонн</w:t>
            </w:r>
          </w:p>
        </w:tc>
        <w:tc>
          <w:tcPr>
            <w:tcW w:w="150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6"/>
                <w:szCs w:val="26"/>
                <w:lang w:eastAsia="ru-RU"/>
              </w:rPr>
            </w:pPr>
            <w:r>
              <w:rPr>
                <w:rFonts w:eastAsia="Times New Roman"/>
                <w:sz w:val="26"/>
                <w:szCs w:val="26"/>
                <w:lang w:eastAsia="ru-RU"/>
              </w:rPr>
            </w:r>
          </w:p>
        </w:tc>
        <w:tc>
          <w:tcPr>
            <w:tcW w:w="17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6"/>
                <w:szCs w:val="26"/>
                <w:lang w:eastAsia="ru-RU"/>
              </w:rPr>
            </w:pPr>
            <w:r>
              <w:rPr>
                <w:rFonts w:eastAsia="Times New Roman"/>
                <w:sz w:val="26"/>
                <w:szCs w:val="26"/>
                <w:lang w:eastAsia="ru-RU"/>
              </w:rPr>
            </w:r>
          </w:p>
        </w:tc>
      </w:tr>
      <w:tr>
        <w:trPr>
          <w:trHeight w:val="108" w:hRule="atLeast"/>
        </w:trPr>
        <w:tc>
          <w:tcPr>
            <w:tcW w:w="187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Котельная , пер. Школьный 1а</w:t>
            </w:r>
          </w:p>
        </w:tc>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725,56</w:t>
            </w:r>
          </w:p>
        </w:tc>
        <w:tc>
          <w:tcPr>
            <w:tcW w:w="10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725,56</w:t>
            </w:r>
          </w:p>
        </w:tc>
        <w:tc>
          <w:tcPr>
            <w:tcW w:w="1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0</w:t>
            </w:r>
          </w:p>
        </w:tc>
        <w:tc>
          <w:tcPr>
            <w:tcW w:w="15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0</w:t>
            </w:r>
          </w:p>
        </w:tc>
        <w:tc>
          <w:tcPr>
            <w:tcW w:w="150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отсутствует</w:t>
            </w:r>
          </w:p>
        </w:tc>
        <w:tc>
          <w:tcPr>
            <w:tcW w:w="17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Не предусмотрен</w:t>
            </w:r>
          </w:p>
        </w:tc>
      </w:tr>
    </w:tbl>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b/>
          <w:sz w:val="26"/>
          <w:szCs w:val="26"/>
          <w:lang w:eastAsia="ru-RU"/>
        </w:rPr>
        <w:tab/>
        <w:t>Раздел 8. Решение об определении единой теплоснабжающей организации.</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firstLine="850"/>
        <w:jc w:val="both"/>
        <w:rPr/>
      </w:pPr>
      <w:r>
        <w:rPr>
          <w:rFonts w:eastAsia="Times New Roman"/>
          <w:color w:val="auto"/>
          <w:sz w:val="26"/>
          <w:szCs w:val="26"/>
          <w:lang w:eastAsia="zh-CN"/>
        </w:rPr>
        <w:t>На территории Доможаковского сельсовета Усть-Абаканского муниципального  района Республики Хакасияединой теплоснабжающей организацией определено МКП «ЖКХ Усть-Абаканского района». Зоной деятельности ЕТО является централизованная система теплоснабжения в границах населенного пункта а.Доможаков</w:t>
      </w:r>
      <w:r>
        <w:rPr>
          <w:rFonts w:eastAsia="Times New Roman"/>
          <w:sz w:val="26"/>
          <w:szCs w:val="26"/>
          <w:lang w:eastAsia="ru-RU"/>
        </w:rPr>
        <w:t>.</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b/>
          <w:sz w:val="26"/>
          <w:szCs w:val="26"/>
          <w:lang w:eastAsia="ru-RU"/>
        </w:rPr>
        <w:tab/>
        <w:t>Раздел 9. Решения о распределении тепловой нагрузки между источниками тепловой энергии.</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firstLine="850"/>
        <w:jc w:val="both"/>
        <w:rPr>
          <w:sz w:val="26"/>
          <w:szCs w:val="26"/>
        </w:rPr>
      </w:pPr>
      <w:r>
        <w:rPr>
          <w:rFonts w:eastAsia="Times New Roman"/>
          <w:sz w:val="26"/>
          <w:szCs w:val="26"/>
          <w:lang w:eastAsia="ru-RU"/>
        </w:rPr>
        <w:t>Решения о загрузке источников тепловой энергии, распределении (перераспределении) тепловой нагрузки потребителей тепловой энергии между источниками тепловой энергии, поставляющими тепловую энергию в данной системе, будут иметь следующий вид:</w:t>
      </w:r>
    </w:p>
    <w:p>
      <w:pPr>
        <w:pStyle w:val="Normal"/>
        <w:ind w:hanging="0"/>
        <w:jc w:val="right"/>
        <w:rPr>
          <w:sz w:val="26"/>
          <w:szCs w:val="26"/>
        </w:rPr>
      </w:pPr>
      <w:r>
        <w:rPr>
          <w:rFonts w:eastAsia="Times New Roman"/>
          <w:sz w:val="26"/>
          <w:szCs w:val="26"/>
          <w:lang w:eastAsia="ru-RU"/>
        </w:rPr>
        <w:t>Таблица 24</w:t>
      </w:r>
    </w:p>
    <w:tbl>
      <w:tblPr>
        <w:tblW w:w="10022" w:type="dxa"/>
        <w:jc w:val="left"/>
        <w:tblInd w:w="0" w:type="dxa"/>
        <w:tblLayout w:type="fixed"/>
        <w:tblCellMar>
          <w:top w:w="0" w:type="dxa"/>
          <w:left w:w="103" w:type="dxa"/>
          <w:bottom w:w="0" w:type="dxa"/>
          <w:right w:w="108" w:type="dxa"/>
        </w:tblCellMar>
        <w:tblLook w:val="01e0"/>
      </w:tblPr>
      <w:tblGrid>
        <w:gridCol w:w="651"/>
        <w:gridCol w:w="3573"/>
        <w:gridCol w:w="2269"/>
        <w:gridCol w:w="3528"/>
      </w:tblGrid>
      <w:tr>
        <w:trPr/>
        <w:tc>
          <w:tcPr>
            <w:tcW w:w="6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 xml:space="preserve">№ </w:t>
            </w:r>
            <w:r>
              <w:rPr>
                <w:rFonts w:eastAsia="Times New Roman"/>
                <w:sz w:val="26"/>
                <w:szCs w:val="26"/>
                <w:lang w:eastAsia="ru-RU"/>
              </w:rPr>
              <w:t>п/п</w:t>
            </w:r>
          </w:p>
        </w:tc>
        <w:tc>
          <w:tcPr>
            <w:tcW w:w="357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Наименование котельной</w:t>
            </w:r>
          </w:p>
        </w:tc>
        <w:tc>
          <w:tcPr>
            <w:tcW w:w="226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Установленная мощность, Гкал/час</w:t>
            </w:r>
          </w:p>
        </w:tc>
        <w:tc>
          <w:tcPr>
            <w:tcW w:w="352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Подключенная тепловая нагрузка, Гкал/час</w:t>
            </w:r>
          </w:p>
        </w:tc>
      </w:tr>
      <w:tr>
        <w:trPr/>
        <w:tc>
          <w:tcPr>
            <w:tcW w:w="6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1.</w:t>
            </w:r>
          </w:p>
        </w:tc>
        <w:tc>
          <w:tcPr>
            <w:tcW w:w="357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sz w:val="26"/>
                <w:szCs w:val="26"/>
              </w:rPr>
            </w:pPr>
            <w:r>
              <w:rPr>
                <w:rFonts w:eastAsia="Times New Roman"/>
                <w:sz w:val="26"/>
                <w:szCs w:val="26"/>
                <w:lang w:eastAsia="ru-RU"/>
              </w:rPr>
              <w:t>Котельная</w:t>
            </w:r>
          </w:p>
        </w:tc>
        <w:tc>
          <w:tcPr>
            <w:tcW w:w="226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3,0</w:t>
            </w:r>
          </w:p>
        </w:tc>
        <w:tc>
          <w:tcPr>
            <w:tcW w:w="352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0,479</w:t>
            </w:r>
          </w:p>
        </w:tc>
      </w:tr>
    </w:tbl>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b/>
          <w:sz w:val="26"/>
          <w:szCs w:val="26"/>
          <w:lang w:eastAsia="ru-RU"/>
        </w:rPr>
        <w:tab/>
        <w:t>Раздел 10. Перечень бесхозяйных тепловых сетей и определение организации, уполномоченной на их эксплуатацию.</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center"/>
        <w:rPr>
          <w:sz w:val="26"/>
          <w:szCs w:val="26"/>
        </w:rPr>
      </w:pPr>
      <w:r>
        <w:rPr>
          <w:rFonts w:eastAsia="Times New Roman"/>
          <w:sz w:val="26"/>
          <w:szCs w:val="26"/>
          <w:lang w:eastAsia="ru-RU"/>
        </w:rPr>
        <w:t xml:space="preserve">Характеристика бесхозяйных тепловых сетей </w:t>
      </w:r>
    </w:p>
    <w:p>
      <w:pPr>
        <w:pStyle w:val="Normal"/>
        <w:ind w:hanging="0"/>
        <w:jc w:val="right"/>
        <w:rPr>
          <w:sz w:val="26"/>
          <w:szCs w:val="26"/>
        </w:rPr>
      </w:pPr>
      <w:r>
        <w:rPr>
          <w:rFonts w:eastAsia="Times New Roman"/>
          <w:sz w:val="26"/>
          <w:szCs w:val="26"/>
          <w:lang w:eastAsia="ru-RU"/>
        </w:rPr>
        <w:t>Таблица  25</w:t>
      </w:r>
    </w:p>
    <w:tbl>
      <w:tblPr>
        <w:tblW w:w="9571" w:type="dxa"/>
        <w:jc w:val="left"/>
        <w:tblInd w:w="0" w:type="dxa"/>
        <w:tblLayout w:type="fixed"/>
        <w:tblCellMar>
          <w:top w:w="0" w:type="dxa"/>
          <w:left w:w="103" w:type="dxa"/>
          <w:bottom w:w="0" w:type="dxa"/>
          <w:right w:w="108" w:type="dxa"/>
        </w:tblCellMar>
        <w:tblLook w:val="01e0"/>
      </w:tblPr>
      <w:tblGrid>
        <w:gridCol w:w="2392"/>
        <w:gridCol w:w="2397"/>
        <w:gridCol w:w="2394"/>
        <w:gridCol w:w="2387"/>
      </w:tblGrid>
      <w:tr>
        <w:trPr/>
        <w:tc>
          <w:tcPr>
            <w:tcW w:w="23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Наименование объекта</w:t>
            </w:r>
          </w:p>
        </w:tc>
        <w:tc>
          <w:tcPr>
            <w:tcW w:w="239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Адрес объекта</w:t>
            </w:r>
          </w:p>
        </w:tc>
        <w:tc>
          <w:tcPr>
            <w:tcW w:w="23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 xml:space="preserve">№ </w:t>
            </w:r>
            <w:r>
              <w:rPr>
                <w:rFonts w:eastAsia="Times New Roman"/>
                <w:sz w:val="26"/>
                <w:szCs w:val="26"/>
                <w:lang w:eastAsia="ru-RU"/>
              </w:rPr>
              <w:t>записи в Едином гос. реестре прав на недвижимое имущество и сделок с ним, дата принятия на учет</w:t>
            </w:r>
          </w:p>
        </w:tc>
        <w:tc>
          <w:tcPr>
            <w:tcW w:w="23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Кадастровый № земельного участка, в пределах которого расположен объект недвижимого имущества</w:t>
            </w:r>
          </w:p>
        </w:tc>
      </w:tr>
      <w:tr>
        <w:trPr/>
        <w:tc>
          <w:tcPr>
            <w:tcW w:w="23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Тепловые сети</w:t>
            </w:r>
          </w:p>
        </w:tc>
        <w:tc>
          <w:tcPr>
            <w:tcW w:w="239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w:t>
            </w:r>
          </w:p>
        </w:tc>
        <w:tc>
          <w:tcPr>
            <w:tcW w:w="23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w:t>
            </w:r>
          </w:p>
        </w:tc>
        <w:tc>
          <w:tcPr>
            <w:tcW w:w="23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w:t>
            </w:r>
          </w:p>
        </w:tc>
      </w:tr>
    </w:tbl>
    <w:p>
      <w:pPr>
        <w:pStyle w:val="Normal"/>
        <w:rPr>
          <w:sz w:val="26"/>
          <w:szCs w:val="26"/>
        </w:rPr>
      </w:pPr>
      <w:r>
        <w:rPr>
          <w:sz w:val="26"/>
          <w:szCs w:val="26"/>
        </w:rPr>
        <w:t>* бесхозяйных тепловых сетей не выявлено</w:t>
      </w:r>
    </w:p>
    <w:p>
      <w:pPr>
        <w:pStyle w:val="Normal"/>
        <w:rPr>
          <w:sz w:val="26"/>
          <w:szCs w:val="26"/>
        </w:rPr>
      </w:pPr>
      <w:r>
        <w:rPr>
          <w:sz w:val="26"/>
          <w:szCs w:val="26"/>
        </w:rPr>
      </w:r>
    </w:p>
    <w:p>
      <w:pPr>
        <w:pStyle w:val="Normal"/>
        <w:rPr>
          <w:sz w:val="26"/>
          <w:szCs w:val="26"/>
        </w:rPr>
      </w:pPr>
      <w:r>
        <w:rPr>
          <w:sz w:val="26"/>
          <w:szCs w:val="26"/>
        </w:rPr>
      </w:r>
    </w:p>
    <w:p>
      <w:pPr>
        <w:pStyle w:val="111"/>
        <w:jc w:val="both"/>
        <w:rPr>
          <w:sz w:val="26"/>
          <w:szCs w:val="26"/>
        </w:rPr>
      </w:pPr>
      <w:r>
        <w:rPr>
          <w:sz w:val="26"/>
          <w:szCs w:val="26"/>
        </w:rPr>
        <w:tab/>
        <w:t xml:space="preserve">Раздел 11. </w:t>
      </w:r>
      <w:r>
        <w:rPr>
          <w:bCs/>
          <w:color w:val="000000"/>
          <w:sz w:val="26"/>
          <w:szCs w:val="26"/>
          <w:lang w:eastAsia="zh-CN"/>
        </w:rPr>
        <w:t>Оценка надежности системы теплоснабжения Доможаковского сельсовета</w:t>
      </w:r>
    </w:p>
    <w:p>
      <w:pPr>
        <w:pStyle w:val="Normal"/>
        <w:ind w:left="851" w:hanging="0"/>
        <w:jc w:val="center"/>
        <w:rPr>
          <w:sz w:val="26"/>
          <w:szCs w:val="26"/>
        </w:rPr>
      </w:pPr>
      <w:r>
        <w:rPr>
          <w:sz w:val="26"/>
          <w:szCs w:val="26"/>
        </w:rPr>
      </w:r>
    </w:p>
    <w:p>
      <w:pPr>
        <w:pStyle w:val="Normal"/>
        <w:ind w:left="851" w:hanging="0"/>
        <w:jc w:val="both"/>
        <w:rPr>
          <w:sz w:val="26"/>
          <w:szCs w:val="26"/>
        </w:rPr>
      </w:pPr>
      <w:r>
        <w:rPr>
          <w:rFonts w:eastAsia="Times New Roman"/>
          <w:color w:val="auto"/>
          <w:sz w:val="26"/>
          <w:szCs w:val="26"/>
          <w:lang w:eastAsia="zh-CN"/>
        </w:rPr>
        <w:t>Надежность теплоснабжения обеспечивается надежной работой всех</w:t>
      </w:r>
    </w:p>
    <w:p>
      <w:pPr>
        <w:pStyle w:val="Normal"/>
        <w:ind w:hanging="0"/>
        <w:jc w:val="both"/>
        <w:rPr>
          <w:sz w:val="26"/>
          <w:szCs w:val="26"/>
        </w:rPr>
      </w:pPr>
      <w:r>
        <w:rPr>
          <w:rFonts w:eastAsia="Times New Roman"/>
          <w:color w:val="auto"/>
          <w:sz w:val="26"/>
          <w:szCs w:val="26"/>
          <w:lang w:eastAsia="zh-CN"/>
        </w:rPr>
        <w:t>элементов системы теплоснабжения, а также внешних, по отношению к системе теплоснабжения, систем электро-, водо-, топливоснабжения источников тепловой энергии.</w:t>
      </w:r>
    </w:p>
    <w:p>
      <w:pPr>
        <w:pStyle w:val="Normal"/>
        <w:ind w:left="851" w:hanging="0"/>
        <w:jc w:val="both"/>
        <w:rPr>
          <w:sz w:val="26"/>
          <w:szCs w:val="26"/>
        </w:rPr>
      </w:pPr>
      <w:r>
        <w:rPr>
          <w:rFonts w:eastAsia="Times New Roman"/>
          <w:color w:val="auto"/>
          <w:sz w:val="26"/>
          <w:szCs w:val="26"/>
          <w:lang w:eastAsia="zh-CN"/>
        </w:rPr>
        <w:t xml:space="preserve">Для оценки надежности систем теплоснабжения используются </w:t>
      </w:r>
    </w:p>
    <w:p>
      <w:pPr>
        <w:pStyle w:val="Normal"/>
        <w:ind w:hanging="0"/>
        <w:jc w:val="both"/>
        <w:rPr>
          <w:sz w:val="26"/>
          <w:szCs w:val="26"/>
        </w:rPr>
      </w:pPr>
      <w:r>
        <w:rPr>
          <w:rFonts w:eastAsia="Times New Roman"/>
          <w:color w:val="auto"/>
          <w:sz w:val="26"/>
          <w:szCs w:val="26"/>
          <w:lang w:eastAsia="zh-CN"/>
        </w:rPr>
        <w:t>показатели надежности структурных элементов системы теплоснабжения и внешних систем электро-, водо-, топливоснабжения источников тепловой энергии.</w:t>
      </w:r>
    </w:p>
    <w:p>
      <w:pPr>
        <w:pStyle w:val="Normal"/>
        <w:ind w:left="851" w:hanging="0"/>
        <w:rPr>
          <w:sz w:val="26"/>
          <w:szCs w:val="26"/>
        </w:rPr>
      </w:pPr>
      <w:r>
        <w:rPr>
          <w:sz w:val="26"/>
          <w:szCs w:val="26"/>
        </w:rPr>
      </w:r>
    </w:p>
    <w:p>
      <w:pPr>
        <w:pStyle w:val="Normal"/>
        <w:ind w:left="851" w:hanging="0"/>
        <w:jc w:val="center"/>
        <w:rPr>
          <w:sz w:val="26"/>
          <w:szCs w:val="26"/>
        </w:rPr>
      </w:pPr>
      <w:r>
        <w:rPr>
          <w:sz w:val="26"/>
          <w:szCs w:val="26"/>
        </w:rPr>
      </w:r>
    </w:p>
    <w:p>
      <w:pPr>
        <w:pStyle w:val="Normal"/>
        <w:ind w:left="851" w:hanging="0"/>
        <w:jc w:val="center"/>
        <w:rPr>
          <w:sz w:val="26"/>
          <w:szCs w:val="26"/>
        </w:rPr>
      </w:pPr>
      <w:r>
        <w:rPr>
          <w:rFonts w:eastAsia="Times New Roman"/>
          <w:b/>
          <w:bCs/>
          <w:color w:val="auto"/>
          <w:sz w:val="26"/>
          <w:szCs w:val="26"/>
          <w:lang w:eastAsia="zh-CN"/>
        </w:rPr>
        <w:t>Расчет критериев надежности  и бесперебойной работы системы теплоснабжения аал Доможаков</w:t>
      </w:r>
    </w:p>
    <w:p>
      <w:pPr>
        <w:pStyle w:val="Normal"/>
        <w:ind w:left="142" w:hanging="142"/>
        <w:rPr>
          <w:sz w:val="26"/>
          <w:szCs w:val="26"/>
        </w:rPr>
      </w:pPr>
      <w:r>
        <w:rPr>
          <w:sz w:val="26"/>
          <w:szCs w:val="26"/>
        </w:rPr>
      </w:r>
    </w:p>
    <w:p>
      <w:pPr>
        <w:pStyle w:val="Normal"/>
        <w:ind w:left="720" w:hanging="0"/>
        <w:rPr>
          <w:sz w:val="26"/>
          <w:szCs w:val="26"/>
        </w:rPr>
      </w:pPr>
      <w:r>
        <w:rPr>
          <w:sz w:val="26"/>
          <w:szCs w:val="26"/>
        </w:rPr>
        <w:t>Расчет показателей надежности системы теплоснабжения выполнен на основании Приказа Минрегиона России от 26.07.2013 № 310 « Об утверждении Методических указаний по анализу показателей, используемых для оценки надежности систем теплоснабжения».</w:t>
      </w:r>
    </w:p>
    <w:p>
      <w:pPr>
        <w:pStyle w:val="ListParagraph"/>
        <w:ind w:left="1440" w:firstLine="709"/>
        <w:rPr>
          <w:sz w:val="26"/>
          <w:szCs w:val="26"/>
        </w:rPr>
      </w:pPr>
      <w:r>
        <w:rPr>
          <w:sz w:val="26"/>
          <w:szCs w:val="26"/>
        </w:rPr>
      </w:r>
    </w:p>
    <w:p>
      <w:pPr>
        <w:pStyle w:val="ListParagraph"/>
        <w:ind w:left="1506" w:firstLine="709"/>
        <w:rPr>
          <w:sz w:val="26"/>
          <w:szCs w:val="26"/>
        </w:rPr>
      </w:pPr>
      <w:r>
        <w:rPr>
          <w:b/>
          <w:bCs/>
          <w:sz w:val="26"/>
          <w:szCs w:val="26"/>
          <w:u w:val="single"/>
        </w:rPr>
        <w:t>1.1. Показатель надежности электроснабжения источников тепла (Кэ),</w:t>
      </w:r>
    </w:p>
    <w:p>
      <w:pPr>
        <w:pStyle w:val="Normal"/>
        <w:ind w:left="786" w:hanging="0"/>
        <w:rPr>
          <w:sz w:val="26"/>
          <w:szCs w:val="26"/>
        </w:rPr>
      </w:pPr>
      <w:r>
        <w:rPr>
          <w:sz w:val="26"/>
          <w:szCs w:val="26"/>
        </w:rPr>
        <w:t>характеризуется наличием или отсутствием резервного электропитания:</w:t>
      </w:r>
    </w:p>
    <w:p>
      <w:pPr>
        <w:pStyle w:val="Normal"/>
        <w:ind w:left="1428" w:hanging="0"/>
        <w:rPr>
          <w:sz w:val="26"/>
          <w:szCs w:val="26"/>
        </w:rPr>
      </w:pPr>
      <w:r>
        <w:rPr>
          <w:sz w:val="26"/>
          <w:szCs w:val="26"/>
        </w:rPr>
        <w:t xml:space="preserve">• </w:t>
      </w:r>
      <w:r>
        <w:rPr>
          <w:sz w:val="26"/>
          <w:szCs w:val="26"/>
        </w:rPr>
        <w:t>при наличии резервного электроснабжения Кэ = 1,0;</w:t>
      </w:r>
    </w:p>
    <w:p>
      <w:pPr>
        <w:pStyle w:val="Normal"/>
        <w:ind w:left="720" w:hanging="0"/>
        <w:rPr>
          <w:sz w:val="26"/>
          <w:szCs w:val="26"/>
        </w:rPr>
      </w:pPr>
      <w:r>
        <w:rPr>
          <w:sz w:val="26"/>
          <w:szCs w:val="26"/>
        </w:rPr>
        <w:t xml:space="preserve">           • </w:t>
      </w:r>
      <w:r>
        <w:rPr>
          <w:sz w:val="26"/>
          <w:szCs w:val="26"/>
        </w:rPr>
        <w:t>при отсутствии резервного электроснабжения при мощности источника тепловой энергии Кэ = 0,6.</w:t>
      </w:r>
    </w:p>
    <w:p>
      <w:pPr>
        <w:pStyle w:val="Normal"/>
        <w:ind w:left="720" w:hanging="0"/>
        <w:rPr>
          <w:sz w:val="26"/>
          <w:szCs w:val="26"/>
        </w:rPr>
      </w:pPr>
      <w:r>
        <w:rPr>
          <w:sz w:val="26"/>
          <w:szCs w:val="26"/>
        </w:rPr>
      </w:r>
    </w:p>
    <w:p>
      <w:pPr>
        <w:pStyle w:val="Normal"/>
        <w:ind w:left="720" w:hanging="0"/>
        <w:rPr>
          <w:sz w:val="26"/>
          <w:szCs w:val="26"/>
        </w:rPr>
      </w:pPr>
      <w:r>
        <w:rPr>
          <w:sz w:val="26"/>
          <w:szCs w:val="26"/>
        </w:rPr>
        <w:t>Резервны</w:t>
      </w:r>
      <w:r>
        <w:rPr>
          <w:rFonts w:eastAsia="Times New Roman"/>
          <w:color w:val="auto"/>
          <w:sz w:val="26"/>
          <w:szCs w:val="26"/>
          <w:lang w:eastAsia="zh-CN"/>
        </w:rPr>
        <w:t xml:space="preserve">й </w:t>
      </w:r>
      <w:r>
        <w:rPr>
          <w:sz w:val="26"/>
          <w:szCs w:val="26"/>
        </w:rPr>
        <w:t xml:space="preserve">источник электроснабжения на котельной </w:t>
      </w:r>
      <w:r>
        <w:rPr>
          <w:rFonts w:eastAsia="Times New Roman"/>
          <w:color w:val="auto"/>
          <w:sz w:val="26"/>
          <w:szCs w:val="26"/>
          <w:lang w:eastAsia="zh-CN"/>
        </w:rPr>
        <w:t>есть</w:t>
      </w:r>
      <w:r>
        <w:rPr>
          <w:sz w:val="26"/>
          <w:szCs w:val="26"/>
        </w:rPr>
        <w:t xml:space="preserve">, </w:t>
      </w:r>
      <w:r>
        <w:rPr>
          <w:b/>
          <w:bCs/>
          <w:sz w:val="26"/>
          <w:szCs w:val="26"/>
          <w:u w:val="single"/>
        </w:rPr>
        <w:t>Кэ=1,0</w:t>
      </w:r>
    </w:p>
    <w:p>
      <w:pPr>
        <w:pStyle w:val="ListParagraph"/>
        <w:ind w:left="1506" w:firstLine="709"/>
        <w:rPr>
          <w:sz w:val="26"/>
          <w:szCs w:val="26"/>
        </w:rPr>
      </w:pPr>
      <w:r>
        <w:rPr>
          <w:b/>
          <w:bCs/>
          <w:sz w:val="26"/>
          <w:szCs w:val="26"/>
          <w:u w:val="single"/>
        </w:rPr>
        <w:t>1.2. Показатель надежности водоснабжения источников тепла (Кв)</w:t>
      </w:r>
    </w:p>
    <w:p>
      <w:pPr>
        <w:pStyle w:val="Normal"/>
        <w:ind w:left="786" w:hanging="0"/>
        <w:rPr>
          <w:sz w:val="26"/>
          <w:szCs w:val="26"/>
        </w:rPr>
      </w:pPr>
      <w:r>
        <w:rPr>
          <w:sz w:val="26"/>
          <w:szCs w:val="26"/>
        </w:rPr>
        <w:t>характеризуется наличием или отсутствием резервного водоснабжения:</w:t>
      </w:r>
    </w:p>
    <w:p>
      <w:pPr>
        <w:pStyle w:val="ListParagraph"/>
        <w:ind w:left="1440" w:firstLine="709"/>
        <w:rPr>
          <w:sz w:val="26"/>
          <w:szCs w:val="26"/>
        </w:rPr>
      </w:pPr>
      <w:r>
        <w:rPr>
          <w:sz w:val="26"/>
          <w:szCs w:val="26"/>
        </w:rPr>
        <w:t xml:space="preserve">• </w:t>
      </w:r>
      <w:r>
        <w:rPr>
          <w:sz w:val="26"/>
          <w:szCs w:val="26"/>
        </w:rPr>
        <w:t>при наличии резервного водоснабжения Кв = 1,0;</w:t>
      </w:r>
    </w:p>
    <w:p>
      <w:pPr>
        <w:pStyle w:val="ListParagraph"/>
        <w:ind w:left="1440" w:firstLine="709"/>
        <w:rPr>
          <w:sz w:val="26"/>
          <w:szCs w:val="26"/>
        </w:rPr>
      </w:pPr>
      <w:r>
        <w:rPr>
          <w:sz w:val="26"/>
          <w:szCs w:val="26"/>
        </w:rPr>
        <w:t xml:space="preserve">• </w:t>
      </w:r>
      <w:r>
        <w:rPr>
          <w:sz w:val="26"/>
          <w:szCs w:val="26"/>
        </w:rPr>
        <w:t>при отсутствии резервного водоснабжения  - Кв = 0,6.</w:t>
      </w:r>
    </w:p>
    <w:p>
      <w:pPr>
        <w:pStyle w:val="Normal"/>
        <w:shd w:val="clear" w:color="auto" w:fill="FFFF00"/>
        <w:ind w:left="720" w:hanging="0"/>
        <w:rPr>
          <w:sz w:val="26"/>
          <w:szCs w:val="26"/>
        </w:rPr>
      </w:pPr>
      <w:r>
        <w:rPr>
          <w:sz w:val="26"/>
          <w:szCs w:val="26"/>
        </w:rPr>
        <w:t xml:space="preserve">Резервный источник водоснабжения на котельной имеется. </w:t>
      </w:r>
      <w:r>
        <w:rPr>
          <w:b/>
          <w:bCs/>
          <w:sz w:val="26"/>
          <w:szCs w:val="26"/>
          <w:u w:val="single"/>
        </w:rPr>
        <w:t>Кв-1,0;</w:t>
      </w:r>
    </w:p>
    <w:p>
      <w:pPr>
        <w:pStyle w:val="Normal"/>
        <w:shd w:val="clear" w:color="auto" w:fill="FFFF00"/>
        <w:ind w:left="720" w:hanging="0"/>
        <w:rPr>
          <w:b w:val="false"/>
          <w:b w:val="false"/>
          <w:bCs w:val="false"/>
          <w:u w:val="none"/>
        </w:rPr>
      </w:pPr>
      <w:r>
        <w:rPr>
          <w:b w:val="false"/>
          <w:bCs w:val="false"/>
          <w:sz w:val="26"/>
          <w:szCs w:val="26"/>
          <w:u w:val="none"/>
        </w:rPr>
        <w:t>Резервным источником водоснабжения на котельной аал. Доможаков является водонапорная башня (бак аккумулятор) объемом 50 м3</w:t>
      </w:r>
    </w:p>
    <w:p>
      <w:pPr>
        <w:pStyle w:val="ListParagraph"/>
        <w:ind w:left="1506" w:firstLine="709"/>
        <w:rPr>
          <w:sz w:val="26"/>
          <w:szCs w:val="26"/>
        </w:rPr>
      </w:pPr>
      <w:r>
        <w:rPr>
          <w:b/>
          <w:bCs/>
          <w:sz w:val="26"/>
          <w:szCs w:val="26"/>
          <w:u w:val="single"/>
        </w:rPr>
        <w:t>1.3. Показатель надежности топливоснабжения источников тепла (Кт),</w:t>
      </w:r>
    </w:p>
    <w:p>
      <w:pPr>
        <w:pStyle w:val="Normal"/>
        <w:ind w:left="786" w:hanging="0"/>
        <w:rPr>
          <w:sz w:val="26"/>
          <w:szCs w:val="26"/>
        </w:rPr>
      </w:pPr>
      <w:r>
        <w:rPr>
          <w:sz w:val="26"/>
          <w:szCs w:val="26"/>
        </w:rPr>
        <w:t>характеризуется наличием или отсутствием резервного топливоснабжения:</w:t>
      </w:r>
    </w:p>
    <w:p>
      <w:pPr>
        <w:pStyle w:val="Normal"/>
        <w:ind w:left="720" w:hanging="0"/>
        <w:rPr>
          <w:sz w:val="26"/>
          <w:szCs w:val="26"/>
        </w:rPr>
      </w:pPr>
      <w:r>
        <w:rPr>
          <w:sz w:val="26"/>
          <w:szCs w:val="26"/>
        </w:rPr>
        <w:t xml:space="preserve">• </w:t>
      </w:r>
      <w:r>
        <w:rPr>
          <w:sz w:val="26"/>
          <w:szCs w:val="26"/>
        </w:rPr>
        <w:t>при наличии резервного топлива Кт = 1,0;</w:t>
      </w:r>
    </w:p>
    <w:p>
      <w:pPr>
        <w:pStyle w:val="Normal"/>
        <w:ind w:left="720" w:hanging="0"/>
        <w:rPr>
          <w:sz w:val="26"/>
          <w:szCs w:val="26"/>
        </w:rPr>
      </w:pPr>
      <w:r>
        <w:rPr>
          <w:sz w:val="26"/>
          <w:szCs w:val="26"/>
        </w:rPr>
        <w:t xml:space="preserve">• </w:t>
      </w:r>
      <w:r>
        <w:rPr>
          <w:sz w:val="26"/>
          <w:szCs w:val="26"/>
        </w:rPr>
        <w:t>при отсутствии резервного топлива Кт = 0,5.</w:t>
      </w:r>
    </w:p>
    <w:p>
      <w:pPr>
        <w:pStyle w:val="Normal"/>
        <w:ind w:left="720" w:hanging="0"/>
        <w:rPr>
          <w:sz w:val="26"/>
          <w:szCs w:val="26"/>
        </w:rPr>
      </w:pPr>
      <w:r>
        <w:rPr>
          <w:sz w:val="26"/>
          <w:szCs w:val="26"/>
        </w:rPr>
        <w:t xml:space="preserve">Резервное топливоснабжение на котельной присутствует  </w:t>
      </w:r>
      <w:r>
        <w:rPr>
          <w:b/>
          <w:bCs/>
          <w:sz w:val="26"/>
          <w:szCs w:val="26"/>
          <w:u w:val="single"/>
        </w:rPr>
        <w:t>Кт=</w:t>
      </w:r>
      <w:r>
        <w:rPr>
          <w:rFonts w:eastAsia="Times New Roman"/>
          <w:b/>
          <w:bCs/>
          <w:color w:val="auto"/>
          <w:sz w:val="26"/>
          <w:szCs w:val="26"/>
          <w:u w:val="single"/>
          <w:lang w:eastAsia="zh-CN"/>
        </w:rPr>
        <w:t>1,0</w:t>
      </w:r>
      <w:r>
        <w:rPr>
          <w:b/>
          <w:bCs/>
          <w:sz w:val="26"/>
          <w:szCs w:val="26"/>
          <w:u w:val="single"/>
        </w:rPr>
        <w:t>;</w:t>
      </w:r>
    </w:p>
    <w:p>
      <w:pPr>
        <w:pStyle w:val="ListParagraph"/>
        <w:ind w:left="786" w:firstLine="709"/>
        <w:rPr>
          <w:sz w:val="26"/>
          <w:szCs w:val="26"/>
        </w:rPr>
      </w:pPr>
      <w:r>
        <w:rPr>
          <w:b/>
          <w:bCs/>
          <w:sz w:val="26"/>
          <w:szCs w:val="26"/>
          <w:u w:val="single"/>
        </w:rPr>
        <w:t xml:space="preserve">1.4.Показатель соответствия тепловой мощности источников тепла и пропускной способности тепловых сетей фактическим тепловым нагрузкам потребителей (Кб). </w:t>
      </w:r>
    </w:p>
    <w:p>
      <w:pPr>
        <w:pStyle w:val="Normal"/>
        <w:ind w:left="786" w:hanging="0"/>
        <w:rPr>
          <w:sz w:val="26"/>
          <w:szCs w:val="26"/>
        </w:rPr>
      </w:pPr>
      <w:r>
        <w:rPr>
          <w:sz w:val="26"/>
          <w:szCs w:val="26"/>
        </w:rPr>
        <w:t>Величина этого показателя определяется размером дефицита (%):</w:t>
      </w:r>
    </w:p>
    <w:p>
      <w:pPr>
        <w:pStyle w:val="Normal"/>
        <w:ind w:left="720" w:hanging="0"/>
        <w:rPr>
          <w:sz w:val="26"/>
          <w:szCs w:val="26"/>
        </w:rPr>
      </w:pPr>
      <w:r>
        <w:rPr>
          <w:rFonts w:eastAsia="Times New Roman"/>
          <w:color w:val="auto"/>
          <w:sz w:val="26"/>
          <w:szCs w:val="26"/>
          <w:lang w:eastAsia="zh-CN"/>
        </w:rPr>
        <w:t xml:space="preserve">полная обеспеченность </w:t>
      </w:r>
      <w:r>
        <w:rPr>
          <w:sz w:val="26"/>
          <w:szCs w:val="26"/>
        </w:rPr>
        <w:t>- Кб = 1,0;</w:t>
      </w:r>
    </w:p>
    <w:p>
      <w:pPr>
        <w:pStyle w:val="Normal"/>
        <w:ind w:left="720" w:hanging="0"/>
        <w:rPr>
          <w:sz w:val="26"/>
          <w:szCs w:val="26"/>
        </w:rPr>
      </w:pPr>
      <w:r>
        <w:rPr>
          <w:rFonts w:eastAsia="Times New Roman"/>
          <w:color w:val="auto"/>
          <w:sz w:val="26"/>
          <w:szCs w:val="26"/>
          <w:lang w:eastAsia="zh-CN"/>
        </w:rPr>
        <w:t>не обеспечена в размере 10% и менее</w:t>
      </w:r>
      <w:r>
        <w:rPr>
          <w:sz w:val="26"/>
          <w:szCs w:val="26"/>
        </w:rPr>
        <w:t xml:space="preserve"> - Кб = 0,8;</w:t>
      </w:r>
    </w:p>
    <w:p>
      <w:pPr>
        <w:pStyle w:val="Normal"/>
        <w:ind w:left="720" w:hanging="0"/>
        <w:rPr>
          <w:sz w:val="26"/>
          <w:szCs w:val="26"/>
        </w:rPr>
      </w:pPr>
      <w:r>
        <w:rPr>
          <w:rFonts w:eastAsia="Times New Roman"/>
          <w:color w:val="auto"/>
          <w:sz w:val="26"/>
          <w:szCs w:val="26"/>
          <w:lang w:eastAsia="zh-CN"/>
        </w:rPr>
        <w:t xml:space="preserve">не обеспечена в размере более 10%  </w:t>
      </w:r>
      <w:r>
        <w:rPr>
          <w:sz w:val="26"/>
          <w:szCs w:val="26"/>
        </w:rPr>
        <w:t xml:space="preserve"> - Кб - 0,5;</w:t>
      </w:r>
    </w:p>
    <w:p>
      <w:pPr>
        <w:pStyle w:val="Normal"/>
        <w:ind w:left="720" w:hanging="0"/>
        <w:rPr>
          <w:sz w:val="26"/>
          <w:szCs w:val="26"/>
        </w:rPr>
      </w:pPr>
      <w:r>
        <w:rPr>
          <w:sz w:val="26"/>
          <w:szCs w:val="26"/>
        </w:rPr>
      </w:r>
    </w:p>
    <w:p>
      <w:pPr>
        <w:pStyle w:val="Normal"/>
        <w:spacing w:lineRule="auto" w:line="360"/>
        <w:ind w:left="720" w:hanging="0"/>
        <w:rPr>
          <w:sz w:val="26"/>
          <w:szCs w:val="26"/>
        </w:rPr>
      </w:pPr>
      <w:r>
        <w:rPr>
          <w:sz w:val="26"/>
          <w:szCs w:val="26"/>
        </w:rPr>
        <w:t xml:space="preserve">Дефицит тепловой мощности источника тепла на котельной отсутствует. Установленная мощность котельной – 3,0 Гкал/ч, подключенная нагрузка – 0,345 Гкал/ч. </w:t>
      </w:r>
      <w:r>
        <w:rPr>
          <w:b/>
          <w:bCs/>
          <w:sz w:val="26"/>
          <w:szCs w:val="26"/>
          <w:u w:val="single"/>
        </w:rPr>
        <w:t>Кб = 1,0;</w:t>
      </w:r>
    </w:p>
    <w:p>
      <w:pPr>
        <w:pStyle w:val="ListParagraph"/>
        <w:ind w:left="786" w:firstLine="709"/>
        <w:rPr>
          <w:sz w:val="26"/>
          <w:szCs w:val="26"/>
        </w:rPr>
      </w:pPr>
      <w:r>
        <w:rPr>
          <w:b/>
          <w:bCs/>
          <w:sz w:val="26"/>
          <w:szCs w:val="26"/>
          <w:u w:val="single"/>
        </w:rPr>
        <w:t>1.5.Показатель уровня резервирования (Кр)</w:t>
      </w:r>
      <w:r>
        <w:rPr>
          <w:sz w:val="26"/>
          <w:szCs w:val="26"/>
        </w:rPr>
        <w:t xml:space="preserve"> источников тепла и элементов тепловой сети путем их кольцевания и устройства перемычек, характеризуемый отношением резервируемой </w:t>
      </w:r>
      <w:r>
        <w:rPr>
          <w:rFonts w:eastAsia="Times New Roman"/>
          <w:color w:val="auto"/>
          <w:sz w:val="26"/>
          <w:szCs w:val="26"/>
          <w:lang w:eastAsia="zh-CN"/>
        </w:rPr>
        <w:t>расчетной</w:t>
      </w:r>
      <w:r>
        <w:rPr>
          <w:sz w:val="26"/>
          <w:szCs w:val="26"/>
        </w:rPr>
        <w:t xml:space="preserve"> тепловой нагрузки  </w:t>
      </w:r>
      <w:r>
        <w:rPr>
          <w:rFonts w:eastAsia="Times New Roman"/>
          <w:color w:val="auto"/>
          <w:sz w:val="26"/>
          <w:szCs w:val="26"/>
          <w:lang w:eastAsia="zh-CN"/>
        </w:rPr>
        <w:t xml:space="preserve">к сумме расчетных тепловых нагрузок </w:t>
      </w:r>
      <w:r>
        <w:rPr>
          <w:sz w:val="26"/>
          <w:szCs w:val="26"/>
        </w:rPr>
        <w:t>(%) системы теплоснабжения, подлежащей резервированию:</w:t>
      </w:r>
    </w:p>
    <w:p>
      <w:pPr>
        <w:pStyle w:val="Normal"/>
        <w:rPr>
          <w:sz w:val="26"/>
          <w:szCs w:val="26"/>
        </w:rPr>
      </w:pPr>
      <w:r>
        <w:rPr>
          <w:sz w:val="26"/>
          <w:szCs w:val="26"/>
        </w:rPr>
        <w:t>90 –100 - Кр = 1,0;</w:t>
      </w:r>
    </w:p>
    <w:p>
      <w:pPr>
        <w:pStyle w:val="Normal"/>
        <w:ind w:left="720" w:hanging="0"/>
        <w:rPr>
          <w:sz w:val="26"/>
          <w:szCs w:val="26"/>
        </w:rPr>
      </w:pPr>
      <w:r>
        <w:rPr>
          <w:sz w:val="26"/>
          <w:szCs w:val="26"/>
        </w:rPr>
        <w:t>70 – 90 - Кр = 0,7;</w:t>
      </w:r>
    </w:p>
    <w:p>
      <w:pPr>
        <w:pStyle w:val="Normal"/>
        <w:ind w:left="720" w:hanging="0"/>
        <w:rPr>
          <w:sz w:val="26"/>
          <w:szCs w:val="26"/>
        </w:rPr>
      </w:pPr>
      <w:r>
        <w:rPr>
          <w:sz w:val="26"/>
          <w:szCs w:val="26"/>
        </w:rPr>
        <w:t>50 – 70 - Кр = 0,5;</w:t>
      </w:r>
    </w:p>
    <w:p>
      <w:pPr>
        <w:pStyle w:val="Normal"/>
        <w:ind w:left="720" w:hanging="0"/>
        <w:rPr>
          <w:sz w:val="26"/>
          <w:szCs w:val="26"/>
        </w:rPr>
      </w:pPr>
      <w:r>
        <w:rPr>
          <w:sz w:val="26"/>
          <w:szCs w:val="26"/>
        </w:rPr>
        <w:t>30 – 50 - Кр = 0,3;</w:t>
      </w:r>
    </w:p>
    <w:p>
      <w:pPr>
        <w:pStyle w:val="Normal"/>
        <w:ind w:left="720" w:hanging="0"/>
        <w:rPr>
          <w:sz w:val="26"/>
          <w:szCs w:val="26"/>
        </w:rPr>
      </w:pPr>
      <w:r>
        <w:rPr>
          <w:sz w:val="26"/>
          <w:szCs w:val="26"/>
        </w:rPr>
        <w:t>менее 30 - Кр = 0,2.</w:t>
      </w:r>
    </w:p>
    <w:p>
      <w:pPr>
        <w:pStyle w:val="Normal"/>
        <w:ind w:left="720" w:hanging="0"/>
        <w:rPr>
          <w:sz w:val="26"/>
          <w:szCs w:val="26"/>
        </w:rPr>
      </w:pPr>
      <w:r>
        <w:rPr>
          <w:sz w:val="26"/>
          <w:szCs w:val="26"/>
        </w:rPr>
        <w:t xml:space="preserve">На котельной  показатель уровня резервирования равен </w:t>
      </w:r>
      <w:r>
        <w:rPr>
          <w:b/>
          <w:bCs/>
          <w:sz w:val="26"/>
          <w:szCs w:val="26"/>
          <w:u w:val="single"/>
        </w:rPr>
        <w:t>Кр=</w:t>
      </w:r>
      <w:r>
        <w:rPr>
          <w:rFonts w:eastAsia="Times New Roman"/>
          <w:b/>
          <w:bCs/>
          <w:color w:val="000000"/>
          <w:sz w:val="26"/>
          <w:szCs w:val="26"/>
          <w:u w:val="single"/>
          <w:lang w:eastAsia="zh-CN"/>
        </w:rPr>
        <w:t>0,2</w:t>
      </w:r>
    </w:p>
    <w:p>
      <w:pPr>
        <w:pStyle w:val="Normal"/>
        <w:ind w:left="720" w:hanging="0"/>
        <w:rPr>
          <w:sz w:val="26"/>
          <w:szCs w:val="26"/>
        </w:rPr>
      </w:pPr>
      <w:r>
        <w:rPr>
          <w:sz w:val="26"/>
          <w:szCs w:val="26"/>
        </w:rPr>
      </w:r>
    </w:p>
    <w:p>
      <w:pPr>
        <w:pStyle w:val="ConsPlusNormal"/>
        <w:spacing w:before="200" w:after="0"/>
        <w:ind w:left="720" w:hanging="0"/>
        <w:jc w:val="both"/>
        <w:rPr>
          <w:sz w:val="26"/>
          <w:szCs w:val="26"/>
        </w:rPr>
      </w:pPr>
      <w:r>
        <w:rPr>
          <w:rFonts w:ascii="Times New Roman" w:hAnsi="Times New Roman"/>
          <w:b/>
          <w:bCs/>
          <w:sz w:val="26"/>
          <w:szCs w:val="26"/>
          <w:u w:val="single"/>
        </w:rPr>
        <w:t>1.6. Показатель технического состояния тепловых сетей (Кс)</w:t>
      </w:r>
      <w:r>
        <w:rPr>
          <w:rFonts w:ascii="Times New Roman" w:hAnsi="Times New Roman"/>
          <w:sz w:val="26"/>
          <w:szCs w:val="26"/>
        </w:rPr>
        <w:t>, характеризуемый долей ветхих, подлежащих замене трубопроводов, определяется по формуле:</w:t>
      </w:r>
    </w:p>
    <w:p>
      <w:pPr>
        <w:pStyle w:val="ConsPlusNormal"/>
        <w:ind w:left="720" w:hanging="0"/>
        <w:jc w:val="both"/>
        <w:rPr>
          <w:rFonts w:ascii="Times New Roman" w:hAnsi="Times New Roman"/>
          <w:sz w:val="26"/>
          <w:szCs w:val="26"/>
        </w:rPr>
      </w:pPr>
      <w:r>
        <w:rPr>
          <w:rFonts w:ascii="Times New Roman" w:hAnsi="Times New Roman"/>
          <w:sz w:val="26"/>
          <w:szCs w:val="26"/>
        </w:rPr>
      </w:r>
    </w:p>
    <w:p>
      <w:pPr>
        <w:pStyle w:val="ConsPlusNormal"/>
        <w:ind w:left="720" w:hanging="0"/>
        <w:jc w:val="both"/>
        <w:rPr>
          <w:sz w:val="26"/>
          <w:szCs w:val="26"/>
        </w:rPr>
      </w:pPr>
      <w:r>
        <w:rPr/>
        <w:drawing>
          <wp:inline distT="0" distB="0" distL="0" distR="0">
            <wp:extent cx="1143000" cy="466090"/>
            <wp:effectExtent l="0" t="0" r="0" b="0"/>
            <wp:docPr id="1" name="Изображение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8" descr=""/>
                    <pic:cNvPicPr>
                      <a:picLocks noChangeAspect="1" noChangeArrowheads="1"/>
                    </pic:cNvPicPr>
                  </pic:nvPicPr>
                  <pic:blipFill>
                    <a:blip r:embed="rId2"/>
                    <a:stretch>
                      <a:fillRect/>
                    </a:stretch>
                  </pic:blipFill>
                  <pic:spPr bwMode="auto">
                    <a:xfrm>
                      <a:off x="0" y="0"/>
                      <a:ext cx="1143000" cy="466090"/>
                    </a:xfrm>
                    <a:prstGeom prst="rect">
                      <a:avLst/>
                    </a:prstGeom>
                  </pic:spPr>
                </pic:pic>
              </a:graphicData>
            </a:graphic>
          </wp:inline>
        </w:drawing>
      </w:r>
      <w:r>
        <w:rPr>
          <w:rFonts w:ascii="Times New Roman" w:hAnsi="Times New Roman"/>
          <w:sz w:val="26"/>
          <w:szCs w:val="26"/>
        </w:rPr>
        <w:t>, (8)</w:t>
      </w:r>
    </w:p>
    <w:p>
      <w:pPr>
        <w:pStyle w:val="ConsPlusNormal"/>
        <w:ind w:left="720" w:hanging="0"/>
        <w:jc w:val="both"/>
        <w:rPr>
          <w:rFonts w:ascii="Times New Roman" w:hAnsi="Times New Roman"/>
          <w:sz w:val="26"/>
          <w:szCs w:val="26"/>
        </w:rPr>
      </w:pPr>
      <w:r>
        <w:rPr>
          <w:rFonts w:ascii="Times New Roman" w:hAnsi="Times New Roman"/>
          <w:sz w:val="26"/>
          <w:szCs w:val="26"/>
        </w:rPr>
      </w:r>
    </w:p>
    <w:p>
      <w:pPr>
        <w:pStyle w:val="ConsPlusNormal"/>
        <w:ind w:left="720" w:hanging="0"/>
        <w:jc w:val="both"/>
        <w:rPr>
          <w:sz w:val="26"/>
          <w:szCs w:val="26"/>
        </w:rPr>
      </w:pPr>
      <w:r>
        <w:rPr>
          <w:rFonts w:ascii="Times New Roman" w:hAnsi="Times New Roman"/>
          <w:sz w:val="26"/>
          <w:szCs w:val="26"/>
        </w:rPr>
        <w:t>где</w:t>
      </w:r>
    </w:p>
    <w:p>
      <w:pPr>
        <w:pStyle w:val="ConsPlusNormal"/>
        <w:spacing w:before="200" w:after="0"/>
        <w:ind w:left="720" w:hanging="0"/>
        <w:jc w:val="both"/>
        <w:rPr>
          <w:sz w:val="26"/>
          <w:szCs w:val="26"/>
        </w:rPr>
      </w:pPr>
      <w:r>
        <w:rPr/>
        <w:drawing>
          <wp:inline distT="0" distB="0" distL="0" distR="0">
            <wp:extent cx="342900" cy="238760"/>
            <wp:effectExtent l="0" t="0" r="0" b="0"/>
            <wp:docPr id="2" name="Изображение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9" descr=""/>
                    <pic:cNvPicPr>
                      <a:picLocks noChangeAspect="1" noChangeArrowheads="1"/>
                    </pic:cNvPicPr>
                  </pic:nvPicPr>
                  <pic:blipFill>
                    <a:blip r:embed="rId3"/>
                    <a:stretch>
                      <a:fillRect/>
                    </a:stretch>
                  </pic:blipFill>
                  <pic:spPr bwMode="auto">
                    <a:xfrm>
                      <a:off x="0" y="0"/>
                      <a:ext cx="342900" cy="238760"/>
                    </a:xfrm>
                    <a:prstGeom prst="rect">
                      <a:avLst/>
                    </a:prstGeom>
                  </pic:spPr>
                </pic:pic>
              </a:graphicData>
            </a:graphic>
          </wp:inline>
        </w:drawing>
      </w:r>
      <w:r>
        <w:rPr>
          <w:rFonts w:ascii="Times New Roman" w:hAnsi="Times New Roman"/>
          <w:sz w:val="26"/>
          <w:szCs w:val="26"/>
        </w:rPr>
        <w:t>- протяженность тепловых сетей, находящихся в эксплуатации;</w:t>
      </w:r>
    </w:p>
    <w:p>
      <w:pPr>
        <w:pStyle w:val="ConsPlusNormal"/>
        <w:spacing w:before="200" w:after="0"/>
        <w:ind w:left="720" w:hanging="0"/>
        <w:jc w:val="both"/>
        <w:rPr>
          <w:sz w:val="26"/>
          <w:szCs w:val="26"/>
        </w:rPr>
      </w:pPr>
      <w:r>
        <w:rPr/>
        <w:drawing>
          <wp:inline distT="0" distB="0" distL="0" distR="0">
            <wp:extent cx="303530" cy="238760"/>
            <wp:effectExtent l="0" t="0" r="0" b="0"/>
            <wp:docPr id="3" name="Изображение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0" descr=""/>
                    <pic:cNvPicPr>
                      <a:picLocks noChangeAspect="1" noChangeArrowheads="1"/>
                    </pic:cNvPicPr>
                  </pic:nvPicPr>
                  <pic:blipFill>
                    <a:blip r:embed="rId4"/>
                    <a:stretch>
                      <a:fillRect/>
                    </a:stretch>
                  </pic:blipFill>
                  <pic:spPr bwMode="auto">
                    <a:xfrm>
                      <a:off x="0" y="0"/>
                      <a:ext cx="303530" cy="238760"/>
                    </a:xfrm>
                    <a:prstGeom prst="rect">
                      <a:avLst/>
                    </a:prstGeom>
                  </pic:spPr>
                </pic:pic>
              </a:graphicData>
            </a:graphic>
          </wp:inline>
        </w:drawing>
      </w:r>
      <w:r>
        <w:rPr>
          <w:rFonts w:ascii="Times New Roman" w:hAnsi="Times New Roman"/>
          <w:sz w:val="26"/>
          <w:szCs w:val="26"/>
        </w:rPr>
        <w:t>- протяженность ветхих тепловых сетей, находящихся в эксплуатации.</w:t>
      </w:r>
    </w:p>
    <w:p>
      <w:pPr>
        <w:pStyle w:val="Normal"/>
        <w:shd w:val="clear" w:color="auto" w:fill="FFFF00"/>
        <w:ind w:left="720" w:hanging="0"/>
        <w:rPr>
          <w:sz w:val="26"/>
          <w:szCs w:val="26"/>
        </w:rPr>
      </w:pPr>
      <w:r>
        <w:rPr>
          <w:b/>
          <w:bCs/>
          <w:color w:val="000000"/>
          <w:sz w:val="26"/>
          <w:szCs w:val="26"/>
          <w:u w:val="single"/>
        </w:rPr>
        <w:t xml:space="preserve">Кс = </w:t>
      </w:r>
      <w:r>
        <w:rPr>
          <w:rFonts w:eastAsia="Times New Roman"/>
          <w:b/>
          <w:bCs/>
          <w:color w:val="000000"/>
          <w:sz w:val="26"/>
          <w:szCs w:val="26"/>
          <w:u w:val="single"/>
          <w:lang w:eastAsia="zh-CN"/>
        </w:rPr>
        <w:t>(1,326-0,324)/1,326 = 0,755</w:t>
      </w:r>
    </w:p>
    <w:p>
      <w:pPr>
        <w:pStyle w:val="Normal"/>
        <w:ind w:left="720" w:hanging="0"/>
        <w:rPr>
          <w:rFonts w:eastAsia="Times New Roman"/>
          <w:b/>
          <w:b/>
          <w:bCs/>
          <w:color w:val="000000"/>
          <w:sz w:val="26"/>
          <w:szCs w:val="26"/>
          <w:u w:val="single"/>
          <w:lang w:eastAsia="zh-CN"/>
        </w:rPr>
      </w:pPr>
      <w:r>
        <w:rPr>
          <w:rFonts w:eastAsia="Times New Roman"/>
          <w:b/>
          <w:bCs/>
          <w:color w:val="000000"/>
          <w:sz w:val="26"/>
          <w:szCs w:val="26"/>
          <w:u w:val="single"/>
          <w:lang w:eastAsia="zh-CN"/>
        </w:rPr>
      </w:r>
    </w:p>
    <w:p>
      <w:pPr>
        <w:pStyle w:val="Normal"/>
        <w:ind w:left="786" w:hanging="0"/>
        <w:rPr>
          <w:sz w:val="26"/>
          <w:szCs w:val="26"/>
        </w:rPr>
      </w:pPr>
      <w:r>
        <w:rPr>
          <w:b/>
          <w:bCs/>
          <w:sz w:val="26"/>
          <w:szCs w:val="26"/>
          <w:u w:val="single"/>
        </w:rPr>
        <w:t xml:space="preserve">1.7. Показатель интенсивности отказов </w:t>
      </w:r>
      <w:r>
        <w:rPr>
          <w:rFonts w:eastAsia="Times New Roman"/>
          <w:b/>
          <w:bCs/>
          <w:color w:val="000000"/>
          <w:sz w:val="26"/>
          <w:szCs w:val="26"/>
          <w:u w:val="single"/>
          <w:lang w:eastAsia="zh-CN"/>
        </w:rPr>
        <w:t>систем теплоснабжения:</w:t>
      </w:r>
    </w:p>
    <w:p>
      <w:pPr>
        <w:pStyle w:val="Normal"/>
        <w:ind w:left="720" w:hanging="0"/>
        <w:rPr>
          <w:sz w:val="26"/>
          <w:szCs w:val="26"/>
        </w:rPr>
      </w:pPr>
      <w:r>
        <w:rPr>
          <w:b/>
          <w:bCs/>
          <w:sz w:val="26"/>
          <w:szCs w:val="26"/>
          <w:u w:val="single"/>
        </w:rPr>
        <w:t>1.7.1. Показатель интенсивности отказов тепловых сетей, (Котк)</w:t>
      </w:r>
      <w:r>
        <w:rPr>
          <w:sz w:val="26"/>
          <w:szCs w:val="26"/>
        </w:rPr>
        <w:t>,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 за последние три года.</w:t>
      </w:r>
    </w:p>
    <w:p>
      <w:pPr>
        <w:pStyle w:val="Normal"/>
        <w:ind w:left="720" w:hanging="0"/>
        <w:rPr>
          <w:sz w:val="26"/>
          <w:szCs w:val="26"/>
        </w:rPr>
      </w:pPr>
      <w:r>
        <w:rPr>
          <w:sz w:val="26"/>
          <w:szCs w:val="26"/>
        </w:rPr>
        <w:t>Иотк = nотк/(3*S) [1/(км*год)],</w:t>
      </w:r>
    </w:p>
    <w:p>
      <w:pPr>
        <w:pStyle w:val="Normal"/>
        <w:ind w:left="720" w:hanging="0"/>
        <w:rPr>
          <w:sz w:val="26"/>
          <w:szCs w:val="26"/>
        </w:rPr>
      </w:pPr>
      <w:r>
        <w:rPr>
          <w:sz w:val="26"/>
          <w:szCs w:val="26"/>
        </w:rPr>
        <w:t>где nотк - количество отказов за последний год не было;</w:t>
      </w:r>
    </w:p>
    <w:p>
      <w:pPr>
        <w:pStyle w:val="Normal"/>
        <w:ind w:left="720" w:hanging="0"/>
        <w:rPr>
          <w:sz w:val="26"/>
          <w:szCs w:val="26"/>
        </w:rPr>
      </w:pPr>
      <w:r>
        <w:rPr>
          <w:sz w:val="26"/>
          <w:szCs w:val="26"/>
        </w:rPr>
        <w:t>S- протяженность тепловой сети данной системы теплоснабжения</w:t>
      </w:r>
      <w:r>
        <w:rPr>
          <w:b/>
          <w:bCs/>
          <w:sz w:val="26"/>
          <w:szCs w:val="26"/>
        </w:rPr>
        <w:t xml:space="preserve">- </w:t>
      </w:r>
      <w:r>
        <w:rPr>
          <w:rFonts w:eastAsia="Times New Roman"/>
          <w:b/>
          <w:bCs/>
          <w:color w:val="000000"/>
          <w:sz w:val="26"/>
          <w:szCs w:val="26"/>
          <w:lang w:eastAsia="zh-CN"/>
        </w:rPr>
        <w:t>1,946</w:t>
      </w:r>
      <w:r>
        <w:rPr>
          <w:sz w:val="26"/>
          <w:szCs w:val="26"/>
        </w:rPr>
        <w:t xml:space="preserve"> км.</w:t>
      </w:r>
    </w:p>
    <w:p>
      <w:pPr>
        <w:pStyle w:val="Normal"/>
        <w:ind w:left="720" w:hanging="0"/>
        <w:rPr>
          <w:sz w:val="26"/>
          <w:szCs w:val="26"/>
        </w:rPr>
      </w:pPr>
      <w:r>
        <w:rPr>
          <w:sz w:val="26"/>
          <w:szCs w:val="26"/>
        </w:rPr>
        <w:t>В зависимости от интенсивности отказов (Иотк) определяется показатель надежности (Котк)</w:t>
      </w:r>
    </w:p>
    <w:p>
      <w:pPr>
        <w:pStyle w:val="Normal"/>
        <w:ind w:left="720" w:hanging="0"/>
        <w:rPr>
          <w:sz w:val="26"/>
          <w:szCs w:val="26"/>
        </w:rPr>
      </w:pPr>
      <w:r>
        <w:rPr>
          <w:sz w:val="26"/>
          <w:szCs w:val="26"/>
        </w:rPr>
        <w:t>до 0,5 - Котк = 1,0;</w:t>
      </w:r>
    </w:p>
    <w:p>
      <w:pPr>
        <w:pStyle w:val="Normal"/>
        <w:ind w:left="720" w:hanging="0"/>
        <w:rPr>
          <w:sz w:val="26"/>
          <w:szCs w:val="26"/>
        </w:rPr>
      </w:pPr>
      <w:r>
        <w:rPr>
          <w:sz w:val="26"/>
          <w:szCs w:val="26"/>
        </w:rPr>
        <w:t>0,5 - 0,8 - Котк = 0,8;</w:t>
      </w:r>
    </w:p>
    <w:p>
      <w:pPr>
        <w:pStyle w:val="Normal"/>
        <w:ind w:left="720" w:hanging="0"/>
        <w:rPr>
          <w:sz w:val="26"/>
          <w:szCs w:val="26"/>
        </w:rPr>
      </w:pPr>
      <w:r>
        <w:rPr>
          <w:sz w:val="26"/>
          <w:szCs w:val="26"/>
        </w:rPr>
        <w:t>0,8 - 1,2 - Котк = 0,6;</w:t>
      </w:r>
    </w:p>
    <w:p>
      <w:pPr>
        <w:pStyle w:val="Normal"/>
        <w:ind w:left="720" w:hanging="0"/>
        <w:rPr>
          <w:sz w:val="26"/>
          <w:szCs w:val="26"/>
        </w:rPr>
      </w:pPr>
      <w:r>
        <w:rPr>
          <w:sz w:val="26"/>
          <w:szCs w:val="26"/>
        </w:rPr>
        <w:t>свыше 1,2 - Котк = 0,5;</w:t>
      </w:r>
    </w:p>
    <w:p>
      <w:pPr>
        <w:pStyle w:val="Normal"/>
        <w:ind w:left="720" w:hanging="0"/>
        <w:rPr>
          <w:sz w:val="26"/>
          <w:szCs w:val="26"/>
        </w:rPr>
      </w:pPr>
      <w:r>
        <w:rPr>
          <w:sz w:val="26"/>
          <w:szCs w:val="26"/>
        </w:rPr>
        <w:t>Отказов и вынужденных отключений участков тепловой сети за последний год не было.</w:t>
      </w:r>
    </w:p>
    <w:p>
      <w:pPr>
        <w:pStyle w:val="Normal"/>
        <w:ind w:left="720" w:hanging="0"/>
        <w:rPr>
          <w:sz w:val="26"/>
          <w:szCs w:val="26"/>
        </w:rPr>
      </w:pPr>
      <w:r>
        <w:rPr>
          <w:sz w:val="26"/>
          <w:szCs w:val="26"/>
        </w:rPr>
        <w:t xml:space="preserve">Иотк = 0/(3*1,946) = </w:t>
      </w:r>
      <w:r>
        <w:rPr>
          <w:rFonts w:eastAsia="Times New Roman"/>
          <w:color w:val="000000"/>
          <w:sz w:val="26"/>
          <w:szCs w:val="26"/>
          <w:lang w:eastAsia="zh-CN"/>
        </w:rPr>
        <w:t>0</w:t>
      </w:r>
    </w:p>
    <w:p>
      <w:pPr>
        <w:pStyle w:val="Normal"/>
        <w:ind w:left="720" w:hanging="0"/>
        <w:rPr>
          <w:sz w:val="26"/>
          <w:szCs w:val="26"/>
        </w:rPr>
      </w:pPr>
      <w:r>
        <w:rPr>
          <w:b/>
          <w:bCs/>
          <w:sz w:val="26"/>
          <w:szCs w:val="26"/>
          <w:u w:val="single"/>
        </w:rPr>
        <w:t xml:space="preserve">Котк = </w:t>
      </w:r>
      <w:r>
        <w:rPr>
          <w:rFonts w:eastAsia="Times New Roman"/>
          <w:b/>
          <w:bCs/>
          <w:color w:val="000000"/>
          <w:sz w:val="26"/>
          <w:szCs w:val="26"/>
          <w:u w:val="single"/>
          <w:lang w:eastAsia="zh-CN"/>
        </w:rPr>
        <w:t>1,0</w:t>
      </w:r>
    </w:p>
    <w:p>
      <w:pPr>
        <w:pStyle w:val="Normal"/>
        <w:ind w:left="720" w:hanging="0"/>
        <w:rPr>
          <w:rFonts w:eastAsia="Times New Roman"/>
          <w:b/>
          <w:b/>
          <w:bCs/>
          <w:color w:val="000000"/>
          <w:sz w:val="26"/>
          <w:szCs w:val="26"/>
          <w:u w:val="single"/>
          <w:lang w:eastAsia="zh-CN"/>
        </w:rPr>
      </w:pPr>
      <w:r>
        <w:rPr>
          <w:rFonts w:eastAsia="Times New Roman"/>
          <w:b/>
          <w:bCs/>
          <w:color w:val="000000"/>
          <w:sz w:val="26"/>
          <w:szCs w:val="26"/>
          <w:u w:val="single"/>
          <w:lang w:eastAsia="zh-CN"/>
        </w:rPr>
      </w:r>
    </w:p>
    <w:p>
      <w:pPr>
        <w:pStyle w:val="Normal"/>
        <w:ind w:left="720" w:hanging="0"/>
        <w:jc w:val="both"/>
        <w:rPr>
          <w:sz w:val="26"/>
          <w:szCs w:val="26"/>
        </w:rPr>
      </w:pPr>
      <w:r>
        <w:rPr>
          <w:b/>
          <w:bCs/>
          <w:sz w:val="26"/>
          <w:szCs w:val="26"/>
          <w:u w:val="single"/>
        </w:rPr>
        <w:t>1.7.2. Показатель интенсивности отказов (далее - отказ) теплового источника</w:t>
      </w:r>
      <w:r>
        <w:rPr>
          <w:sz w:val="26"/>
          <w:szCs w:val="26"/>
        </w:rPr>
        <w:t>, 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(Котк ит):</w:t>
      </w:r>
    </w:p>
    <w:p>
      <w:pPr>
        <w:pStyle w:val="ConsPlusNormal"/>
        <w:ind w:left="720" w:hanging="0"/>
        <w:jc w:val="both"/>
        <w:rPr>
          <w:rFonts w:ascii="Times New Roman" w:hAnsi="Times New Roman"/>
          <w:sz w:val="26"/>
          <w:szCs w:val="26"/>
        </w:rPr>
      </w:pPr>
      <w:r>
        <w:rPr>
          <w:rFonts w:ascii="Times New Roman" w:hAnsi="Times New Roman"/>
          <w:sz w:val="26"/>
          <w:szCs w:val="26"/>
        </w:rPr>
      </w:r>
    </w:p>
    <w:p>
      <w:pPr>
        <w:pStyle w:val="ConsPlusNormal"/>
        <w:ind w:left="720" w:hanging="0"/>
        <w:jc w:val="both"/>
        <w:rPr>
          <w:sz w:val="26"/>
          <w:szCs w:val="26"/>
        </w:rPr>
      </w:pPr>
      <w:r>
        <w:rPr/>
        <w:drawing>
          <wp:inline distT="0" distB="0" distL="0" distR="0">
            <wp:extent cx="1612900" cy="401320"/>
            <wp:effectExtent l="0" t="0" r="0" b="0"/>
            <wp:docPr id="4" name="Изображение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31" descr=""/>
                    <pic:cNvPicPr>
                      <a:picLocks noChangeAspect="1" noChangeArrowheads="1"/>
                    </pic:cNvPicPr>
                  </pic:nvPicPr>
                  <pic:blipFill>
                    <a:blip r:embed="rId5"/>
                    <a:stretch>
                      <a:fillRect/>
                    </a:stretch>
                  </pic:blipFill>
                  <pic:spPr bwMode="auto">
                    <a:xfrm>
                      <a:off x="0" y="0"/>
                      <a:ext cx="1612900" cy="401320"/>
                    </a:xfrm>
                    <a:prstGeom prst="rect">
                      <a:avLst/>
                    </a:prstGeom>
                  </pic:spPr>
                </pic:pic>
              </a:graphicData>
            </a:graphic>
          </wp:inline>
        </w:drawing>
      </w:r>
      <w:r>
        <w:rPr>
          <w:rFonts w:ascii="Times New Roman" w:hAnsi="Times New Roman"/>
          <w:sz w:val="26"/>
          <w:szCs w:val="26"/>
        </w:rPr>
        <w:t>(10)</w:t>
      </w:r>
    </w:p>
    <w:p>
      <w:pPr>
        <w:pStyle w:val="ConsPlusNormal"/>
        <w:ind w:left="720" w:hanging="0"/>
        <w:jc w:val="both"/>
        <w:rPr>
          <w:rFonts w:ascii="Times New Roman" w:hAnsi="Times New Roman"/>
          <w:sz w:val="26"/>
          <w:szCs w:val="26"/>
        </w:rPr>
      </w:pPr>
      <w:r>
        <w:rPr>
          <w:rFonts w:ascii="Times New Roman" w:hAnsi="Times New Roman"/>
          <w:sz w:val="26"/>
          <w:szCs w:val="26"/>
        </w:rPr>
      </w:r>
    </w:p>
    <w:p>
      <w:pPr>
        <w:pStyle w:val="ConsPlusNormal"/>
        <w:ind w:left="720" w:hanging="0"/>
        <w:jc w:val="both"/>
        <w:rPr>
          <w:sz w:val="26"/>
          <w:szCs w:val="26"/>
        </w:rPr>
      </w:pPr>
      <w:r>
        <w:rPr>
          <w:rFonts w:ascii="Times New Roman" w:hAnsi="Times New Roman"/>
          <w:sz w:val="26"/>
          <w:szCs w:val="26"/>
        </w:rPr>
        <w:t>В зависимости от интенсивности отказов (Иотк ит) определяется показатель надежности теплового источника (Котк ит):</w:t>
      </w:r>
    </w:p>
    <w:p>
      <w:pPr>
        <w:pStyle w:val="ConsPlusCell"/>
        <w:spacing w:before="200" w:after="0"/>
        <w:ind w:left="720" w:firstLine="709"/>
        <w:jc w:val="both"/>
        <w:rPr>
          <w:sz w:val="26"/>
          <w:szCs w:val="26"/>
        </w:rPr>
      </w:pPr>
      <w:r>
        <w:rPr>
          <w:rFonts w:ascii="Times New Roman" w:hAnsi="Times New Roman"/>
          <w:sz w:val="26"/>
          <w:szCs w:val="26"/>
        </w:rPr>
        <w:t>до 0,2 включительно         - Котк ит = 1,0;</w:t>
      </w:r>
    </w:p>
    <w:p>
      <w:pPr>
        <w:pStyle w:val="ConsPlusCell"/>
        <w:ind w:left="720" w:firstLine="709"/>
        <w:jc w:val="both"/>
        <w:rPr>
          <w:sz w:val="26"/>
          <w:szCs w:val="26"/>
        </w:rPr>
      </w:pPr>
      <w:r>
        <w:rPr>
          <w:rFonts w:ascii="Times New Roman" w:hAnsi="Times New Roman"/>
          <w:sz w:val="26"/>
          <w:szCs w:val="26"/>
        </w:rPr>
        <w:t>от 0,2 до 0,6 включительно  - Котк ит = 0,8;</w:t>
      </w:r>
    </w:p>
    <w:p>
      <w:pPr>
        <w:pStyle w:val="ConsPlusCell"/>
        <w:spacing w:lineRule="auto" w:line="360"/>
        <w:ind w:left="720" w:firstLine="709"/>
        <w:jc w:val="both"/>
        <w:rPr>
          <w:sz w:val="26"/>
          <w:szCs w:val="26"/>
        </w:rPr>
      </w:pPr>
      <w:r>
        <w:rPr>
          <w:rFonts w:ascii="Times New Roman" w:hAnsi="Times New Roman"/>
          <w:sz w:val="26"/>
          <w:szCs w:val="26"/>
        </w:rPr>
        <w:t>от 0,6 - 1,2 включительно   - Котк ит = 0,6.</w:t>
      </w:r>
    </w:p>
    <w:p>
      <w:pPr>
        <w:pStyle w:val="ConsPlusCell"/>
        <w:spacing w:lineRule="auto" w:line="360"/>
        <w:ind w:left="720" w:firstLine="709"/>
        <w:jc w:val="both"/>
        <w:rPr>
          <w:sz w:val="26"/>
          <w:szCs w:val="26"/>
        </w:rPr>
      </w:pPr>
      <w:r>
        <w:rPr>
          <w:rFonts w:ascii="Times New Roman" w:hAnsi="Times New Roman"/>
          <w:b/>
          <w:bCs/>
          <w:sz w:val="26"/>
          <w:szCs w:val="26"/>
        </w:rPr>
        <w:t>На котельной  Иотк ит = (1,0+0,6+1)/3 = 0,87</w:t>
      </w:r>
    </w:p>
    <w:p>
      <w:pPr>
        <w:pStyle w:val="ConsPlusCell"/>
        <w:spacing w:lineRule="auto" w:line="360"/>
        <w:ind w:left="720" w:firstLine="709"/>
        <w:jc w:val="both"/>
        <w:rPr>
          <w:sz w:val="26"/>
          <w:szCs w:val="26"/>
        </w:rPr>
      </w:pPr>
      <w:r>
        <w:rPr>
          <w:rFonts w:ascii="Times New Roman" w:hAnsi="Times New Roman"/>
          <w:b/>
          <w:bCs/>
          <w:sz w:val="26"/>
          <w:szCs w:val="26"/>
        </w:rPr>
        <w:t>Котк ит = 0,6</w:t>
      </w:r>
    </w:p>
    <w:p>
      <w:pPr>
        <w:pStyle w:val="ListParagraph"/>
        <w:rPr>
          <w:sz w:val="26"/>
          <w:szCs w:val="26"/>
        </w:rPr>
      </w:pPr>
      <w:r>
        <w:rPr>
          <w:b/>
          <w:bCs/>
          <w:sz w:val="26"/>
          <w:szCs w:val="26"/>
          <w:u w:val="single"/>
        </w:rPr>
        <w:t xml:space="preserve">1.8. </w:t>
      </w:r>
      <w:r>
        <w:rPr>
          <w:rFonts w:eastAsia="Times New Roman"/>
          <w:b/>
          <w:bCs/>
          <w:color w:val="000000"/>
          <w:sz w:val="26"/>
          <w:szCs w:val="26"/>
          <w:u w:val="single"/>
          <w:lang w:eastAsia="zh-CN"/>
        </w:rPr>
        <w:t>П</w:t>
      </w:r>
      <w:r>
        <w:rPr>
          <w:b/>
          <w:bCs/>
          <w:sz w:val="26"/>
          <w:szCs w:val="26"/>
          <w:u w:val="single"/>
        </w:rPr>
        <w:t>оказатель относительного аварийного недоотпуска тепла (Кнед) в результате внеплановых отключений теплопотребляющих установок потребителей определяется по формуле:</w:t>
      </w:r>
    </w:p>
    <w:p>
      <w:pPr>
        <w:pStyle w:val="ConsPlusNormal"/>
        <w:ind w:left="720" w:hanging="0"/>
        <w:jc w:val="both"/>
        <w:rPr>
          <w:rFonts w:ascii="Times New Roman" w:hAnsi="Times New Roman"/>
          <w:sz w:val="26"/>
          <w:szCs w:val="26"/>
        </w:rPr>
      </w:pPr>
      <w:r>
        <w:rPr>
          <w:rFonts w:ascii="Times New Roman" w:hAnsi="Times New Roman"/>
          <w:sz w:val="26"/>
          <w:szCs w:val="26"/>
        </w:rPr>
      </w:r>
      <w:bookmarkStart w:id="1" w:name="P169"/>
      <w:bookmarkStart w:id="2" w:name="P169"/>
      <w:bookmarkEnd w:id="2"/>
    </w:p>
    <w:p>
      <w:pPr>
        <w:pStyle w:val="ConsPlusNormal"/>
        <w:ind w:left="720" w:hanging="0"/>
        <w:jc w:val="both"/>
        <w:rPr>
          <w:sz w:val="26"/>
          <w:szCs w:val="26"/>
        </w:rPr>
      </w:pPr>
      <w:r>
        <w:rPr/>
        <w:drawing>
          <wp:inline distT="0" distB="0" distL="0" distR="0">
            <wp:extent cx="1689100" cy="419100"/>
            <wp:effectExtent l="0" t="0" r="0" b="0"/>
            <wp:docPr id="5" name="Изображение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32" descr=""/>
                    <pic:cNvPicPr>
                      <a:picLocks noChangeAspect="1" noChangeArrowheads="1"/>
                    </pic:cNvPicPr>
                  </pic:nvPicPr>
                  <pic:blipFill>
                    <a:blip r:embed="rId6"/>
                    <a:stretch>
                      <a:fillRect/>
                    </a:stretch>
                  </pic:blipFill>
                  <pic:spPr bwMode="auto">
                    <a:xfrm>
                      <a:off x="0" y="0"/>
                      <a:ext cx="1689100" cy="419100"/>
                    </a:xfrm>
                    <a:prstGeom prst="rect">
                      <a:avLst/>
                    </a:prstGeom>
                  </pic:spPr>
                </pic:pic>
              </a:graphicData>
            </a:graphic>
          </wp:inline>
        </w:drawing>
      </w:r>
      <w:r>
        <w:rPr>
          <w:rFonts w:ascii="Times New Roman" w:hAnsi="Times New Roman"/>
          <w:sz w:val="26"/>
          <w:szCs w:val="26"/>
        </w:rPr>
        <w:t>, (11)</w:t>
      </w:r>
    </w:p>
    <w:p>
      <w:pPr>
        <w:pStyle w:val="ConsPlusNormal"/>
        <w:ind w:left="720" w:hanging="0"/>
        <w:jc w:val="both"/>
        <w:rPr>
          <w:rFonts w:ascii="Times New Roman" w:hAnsi="Times New Roman"/>
          <w:sz w:val="26"/>
          <w:szCs w:val="26"/>
        </w:rPr>
      </w:pPr>
      <w:r>
        <w:rPr>
          <w:rFonts w:ascii="Times New Roman" w:hAnsi="Times New Roman"/>
          <w:sz w:val="26"/>
          <w:szCs w:val="26"/>
        </w:rPr>
      </w:r>
    </w:p>
    <w:p>
      <w:pPr>
        <w:pStyle w:val="ConsPlusNormal"/>
        <w:ind w:left="720" w:hanging="0"/>
        <w:jc w:val="both"/>
        <w:rPr>
          <w:sz w:val="26"/>
          <w:szCs w:val="26"/>
        </w:rPr>
      </w:pPr>
      <w:r>
        <w:rPr>
          <w:rFonts w:ascii="Times New Roman" w:hAnsi="Times New Roman"/>
          <w:sz w:val="26"/>
          <w:szCs w:val="26"/>
        </w:rPr>
        <w:t>где</w:t>
      </w:r>
    </w:p>
    <w:p>
      <w:pPr>
        <w:pStyle w:val="ConsPlusNormal"/>
        <w:spacing w:before="200" w:after="0"/>
        <w:ind w:left="720" w:hanging="0"/>
        <w:jc w:val="both"/>
        <w:rPr>
          <w:sz w:val="26"/>
          <w:szCs w:val="26"/>
        </w:rPr>
      </w:pPr>
      <w:r>
        <w:rPr/>
        <w:drawing>
          <wp:inline distT="0" distB="0" distL="0" distR="0">
            <wp:extent cx="440055" cy="199390"/>
            <wp:effectExtent l="0" t="0" r="0" b="0"/>
            <wp:docPr id="6" name="Изображение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33" descr=""/>
                    <pic:cNvPicPr>
                      <a:picLocks noChangeAspect="1" noChangeArrowheads="1"/>
                    </pic:cNvPicPr>
                  </pic:nvPicPr>
                  <pic:blipFill>
                    <a:blip r:embed="rId7"/>
                    <a:stretch>
                      <a:fillRect/>
                    </a:stretch>
                  </pic:blipFill>
                  <pic:spPr bwMode="auto">
                    <a:xfrm>
                      <a:off x="0" y="0"/>
                      <a:ext cx="440055" cy="199390"/>
                    </a:xfrm>
                    <a:prstGeom prst="rect">
                      <a:avLst/>
                    </a:prstGeom>
                  </pic:spPr>
                </pic:pic>
              </a:graphicData>
            </a:graphic>
          </wp:inline>
        </w:drawing>
      </w:r>
      <w:r>
        <w:rPr>
          <w:rFonts w:ascii="Times New Roman" w:hAnsi="Times New Roman"/>
          <w:sz w:val="26"/>
          <w:szCs w:val="26"/>
        </w:rPr>
        <w:t>- недоотпуск тепла;</w:t>
      </w:r>
    </w:p>
    <w:p>
      <w:pPr>
        <w:pStyle w:val="ConsPlusNormal"/>
        <w:spacing w:before="200" w:after="0"/>
        <w:ind w:left="720" w:hanging="0"/>
        <w:jc w:val="both"/>
        <w:rPr>
          <w:sz w:val="26"/>
          <w:szCs w:val="26"/>
        </w:rPr>
      </w:pPr>
      <w:r>
        <w:rPr/>
        <w:drawing>
          <wp:inline distT="0" distB="0" distL="0" distR="0">
            <wp:extent cx="466090" cy="199390"/>
            <wp:effectExtent l="0" t="0" r="0" b="0"/>
            <wp:docPr id="7" name="Изображение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34" descr=""/>
                    <pic:cNvPicPr>
                      <a:picLocks noChangeAspect="1" noChangeArrowheads="1"/>
                    </pic:cNvPicPr>
                  </pic:nvPicPr>
                  <pic:blipFill>
                    <a:blip r:embed="rId8"/>
                    <a:stretch>
                      <a:fillRect/>
                    </a:stretch>
                  </pic:blipFill>
                  <pic:spPr bwMode="auto">
                    <a:xfrm>
                      <a:off x="0" y="0"/>
                      <a:ext cx="466090" cy="199390"/>
                    </a:xfrm>
                    <a:prstGeom prst="rect">
                      <a:avLst/>
                    </a:prstGeom>
                  </pic:spPr>
                </pic:pic>
              </a:graphicData>
            </a:graphic>
          </wp:inline>
        </w:drawing>
      </w:r>
      <w:r>
        <w:rPr>
          <w:rFonts w:ascii="Times New Roman" w:hAnsi="Times New Roman"/>
          <w:sz w:val="26"/>
          <w:szCs w:val="26"/>
        </w:rPr>
        <w:t>- фактический отпуск тепла системой теплоснабжения.</w:t>
      </w:r>
    </w:p>
    <w:p>
      <w:pPr>
        <w:pStyle w:val="ConsPlusNormal"/>
        <w:spacing w:before="200" w:after="0"/>
        <w:ind w:left="720" w:hanging="0"/>
        <w:jc w:val="both"/>
        <w:rPr>
          <w:sz w:val="26"/>
          <w:szCs w:val="26"/>
        </w:rPr>
      </w:pPr>
      <w:r>
        <w:rPr>
          <w:rFonts w:ascii="Times New Roman" w:hAnsi="Times New Roman"/>
          <w:sz w:val="26"/>
          <w:szCs w:val="26"/>
        </w:rPr>
        <w:t>В зависимости от величины относительного недоотпуска тепла (Qнед) определяется показатель надежности (Кнед):</w:t>
      </w:r>
    </w:p>
    <w:p>
      <w:pPr>
        <w:pStyle w:val="ConsPlusCell"/>
        <w:spacing w:before="200" w:after="0"/>
        <w:ind w:left="720" w:firstLine="709"/>
        <w:jc w:val="both"/>
        <w:rPr>
          <w:sz w:val="26"/>
          <w:szCs w:val="26"/>
        </w:rPr>
      </w:pPr>
      <w:r>
        <w:rPr>
          <w:rFonts w:ascii="Times New Roman" w:hAnsi="Times New Roman"/>
          <w:sz w:val="26"/>
          <w:szCs w:val="26"/>
        </w:rPr>
        <w:t>до 0,1% включительно                  - Кнед = 1,0;</w:t>
      </w:r>
    </w:p>
    <w:p>
      <w:pPr>
        <w:pStyle w:val="ConsPlusCell"/>
        <w:ind w:left="720" w:firstLine="709"/>
        <w:jc w:val="both"/>
        <w:rPr>
          <w:sz w:val="26"/>
          <w:szCs w:val="26"/>
        </w:rPr>
      </w:pPr>
      <w:r>
        <w:rPr>
          <w:rFonts w:ascii="Times New Roman" w:hAnsi="Times New Roman"/>
          <w:sz w:val="26"/>
          <w:szCs w:val="26"/>
        </w:rPr>
        <w:t>от 0,1% до 0,3% включительно   - Кнед = 0,8;</w:t>
      </w:r>
    </w:p>
    <w:p>
      <w:pPr>
        <w:pStyle w:val="ConsPlusCell"/>
        <w:ind w:left="720" w:firstLine="709"/>
        <w:jc w:val="both"/>
        <w:rPr>
          <w:sz w:val="26"/>
          <w:szCs w:val="26"/>
        </w:rPr>
      </w:pPr>
      <w:r>
        <w:rPr>
          <w:rFonts w:ascii="Times New Roman" w:hAnsi="Times New Roman"/>
          <w:sz w:val="26"/>
          <w:szCs w:val="26"/>
        </w:rPr>
        <w:t>от 0,3% до 0,5% включительно   - Кнед = 0,6;</w:t>
      </w:r>
    </w:p>
    <w:p>
      <w:pPr>
        <w:pStyle w:val="ConsPlusCell"/>
        <w:ind w:left="720" w:firstLine="709"/>
        <w:jc w:val="both"/>
        <w:rPr>
          <w:sz w:val="26"/>
          <w:szCs w:val="26"/>
        </w:rPr>
      </w:pPr>
      <w:r>
        <w:rPr>
          <w:rFonts w:ascii="Times New Roman" w:hAnsi="Times New Roman"/>
          <w:sz w:val="26"/>
          <w:szCs w:val="26"/>
        </w:rPr>
        <w:t>от 0,5% до 1,0% включительно   - Кнед = 0,5;</w:t>
      </w:r>
    </w:p>
    <w:p>
      <w:pPr>
        <w:pStyle w:val="ConsPlusCell"/>
        <w:ind w:left="720" w:firstLine="709"/>
        <w:jc w:val="both"/>
        <w:rPr>
          <w:sz w:val="26"/>
          <w:szCs w:val="26"/>
        </w:rPr>
      </w:pPr>
      <w:r>
        <w:rPr>
          <w:rFonts w:ascii="Times New Roman" w:hAnsi="Times New Roman"/>
          <w:sz w:val="26"/>
          <w:szCs w:val="26"/>
        </w:rPr>
        <w:t>свыше 1,0%                                     - Кнед = 0,2.</w:t>
      </w:r>
    </w:p>
    <w:p>
      <w:pPr>
        <w:pStyle w:val="ConsPlusCell"/>
        <w:ind w:left="720" w:firstLine="709"/>
        <w:jc w:val="both"/>
        <w:rPr>
          <w:sz w:val="26"/>
          <w:szCs w:val="26"/>
        </w:rPr>
      </w:pPr>
      <w:r>
        <w:rPr>
          <w:rFonts w:ascii="Times New Roman" w:hAnsi="Times New Roman"/>
          <w:b/>
          <w:bCs/>
          <w:sz w:val="26"/>
          <w:szCs w:val="26"/>
        </w:rPr>
        <w:t>На котельной Кнед = 1,0;</w:t>
      </w:r>
    </w:p>
    <w:p>
      <w:pPr>
        <w:pStyle w:val="ConsPlusNormal"/>
        <w:ind w:left="720" w:hanging="0"/>
        <w:jc w:val="both"/>
        <w:rPr>
          <w:sz w:val="26"/>
          <w:szCs w:val="26"/>
        </w:rPr>
      </w:pPr>
      <w:r>
        <w:rPr>
          <w:rFonts w:ascii="Times New Roman" w:hAnsi="Times New Roman"/>
          <w:sz w:val="26"/>
          <w:szCs w:val="26"/>
        </w:rPr>
        <w:t>показатель укомплектованности ремонтным и оперативно-ремонтным персоналом (Кп) определяется как отношение фактической численности к численности по действующим нормативам, но не более 1,0.</w:t>
      </w:r>
    </w:p>
    <w:p>
      <w:pPr>
        <w:pStyle w:val="ConsPlusCell"/>
        <w:ind w:left="720" w:firstLine="709"/>
        <w:jc w:val="both"/>
        <w:rPr>
          <w:sz w:val="26"/>
          <w:szCs w:val="26"/>
        </w:rPr>
      </w:pPr>
      <w:r>
        <w:rPr>
          <w:rFonts w:ascii="Times New Roman" w:hAnsi="Times New Roman"/>
          <w:b/>
          <w:bCs/>
          <w:sz w:val="26"/>
          <w:szCs w:val="26"/>
        </w:rPr>
        <w:t>На котельной К</w:t>
      </w:r>
      <w:r>
        <w:rPr>
          <w:rFonts w:ascii="Times New Roman" w:hAnsi="Times New Roman"/>
          <w:b/>
          <w:bCs/>
          <w:color w:val="auto"/>
          <w:sz w:val="26"/>
          <w:szCs w:val="26"/>
          <w:lang w:eastAsia="zh-CN"/>
        </w:rPr>
        <w:t>п</w:t>
      </w:r>
      <w:r>
        <w:rPr>
          <w:rFonts w:ascii="Times New Roman" w:hAnsi="Times New Roman"/>
          <w:b/>
          <w:bCs/>
          <w:sz w:val="26"/>
          <w:szCs w:val="26"/>
        </w:rPr>
        <w:t xml:space="preserve"> = 1,0;</w:t>
      </w:r>
    </w:p>
    <w:p>
      <w:pPr>
        <w:pStyle w:val="ConsPlusNormal"/>
        <w:spacing w:before="200" w:after="0"/>
        <w:ind w:left="720" w:hanging="0"/>
        <w:jc w:val="both"/>
        <w:rPr>
          <w:sz w:val="26"/>
          <w:szCs w:val="26"/>
        </w:rPr>
      </w:pPr>
      <w:r>
        <w:rPr>
          <w:rFonts w:ascii="Times New Roman" w:hAnsi="Times New Roman"/>
          <w:sz w:val="26"/>
          <w:szCs w:val="26"/>
        </w:rPr>
        <w:t>показатель оснащенности машинами, специальными механизмами и оборудованием (Км) принимается как среднее отношение фактического наличия к количеству, определенному по нормативам, по основной номенклатуре:</w:t>
      </w:r>
    </w:p>
    <w:p>
      <w:pPr>
        <w:pStyle w:val="ConsPlusNormal"/>
        <w:ind w:left="720" w:hanging="0"/>
        <w:jc w:val="both"/>
        <w:rPr>
          <w:rFonts w:ascii="Times New Roman" w:hAnsi="Times New Roman"/>
          <w:sz w:val="26"/>
          <w:szCs w:val="26"/>
        </w:rPr>
      </w:pPr>
      <w:r>
        <w:rPr>
          <w:rFonts w:ascii="Times New Roman" w:hAnsi="Times New Roman"/>
          <w:sz w:val="26"/>
          <w:szCs w:val="26"/>
        </w:rPr>
      </w:r>
    </w:p>
    <w:p>
      <w:pPr>
        <w:pStyle w:val="ConsPlusNormal"/>
        <w:ind w:left="720" w:hanging="0"/>
        <w:jc w:val="both"/>
        <w:rPr>
          <w:sz w:val="26"/>
          <w:szCs w:val="26"/>
        </w:rPr>
      </w:pPr>
      <w:r>
        <w:rPr/>
        <w:drawing>
          <wp:inline distT="0" distB="0" distL="0" distR="0">
            <wp:extent cx="997585" cy="419100"/>
            <wp:effectExtent l="0" t="0" r="0" b="0"/>
            <wp:docPr id="8" name="Изображение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35" descr=""/>
                    <pic:cNvPicPr>
                      <a:picLocks noChangeAspect="1" noChangeArrowheads="1"/>
                    </pic:cNvPicPr>
                  </pic:nvPicPr>
                  <pic:blipFill>
                    <a:blip r:embed="rId9"/>
                    <a:stretch>
                      <a:fillRect/>
                    </a:stretch>
                  </pic:blipFill>
                  <pic:spPr bwMode="auto">
                    <a:xfrm>
                      <a:off x="0" y="0"/>
                      <a:ext cx="997585" cy="419100"/>
                    </a:xfrm>
                    <a:prstGeom prst="rect">
                      <a:avLst/>
                    </a:prstGeom>
                  </pic:spPr>
                </pic:pic>
              </a:graphicData>
            </a:graphic>
          </wp:inline>
        </w:drawing>
      </w:r>
      <w:r>
        <w:rPr>
          <w:rFonts w:ascii="Times New Roman" w:hAnsi="Times New Roman"/>
          <w:sz w:val="26"/>
          <w:szCs w:val="26"/>
        </w:rPr>
        <w:t>, (12)</w:t>
      </w:r>
    </w:p>
    <w:p>
      <w:pPr>
        <w:pStyle w:val="ConsPlusNormal"/>
        <w:ind w:left="720" w:hanging="0"/>
        <w:jc w:val="both"/>
        <w:rPr>
          <w:rFonts w:ascii="Times New Roman" w:hAnsi="Times New Roman"/>
          <w:sz w:val="26"/>
          <w:szCs w:val="26"/>
        </w:rPr>
      </w:pPr>
      <w:r>
        <w:rPr>
          <w:rFonts w:ascii="Times New Roman" w:hAnsi="Times New Roman"/>
          <w:sz w:val="26"/>
          <w:szCs w:val="26"/>
        </w:rPr>
      </w:r>
    </w:p>
    <w:p>
      <w:pPr>
        <w:pStyle w:val="ConsPlusNormal"/>
        <w:ind w:left="720" w:hanging="0"/>
        <w:jc w:val="both"/>
        <w:rPr>
          <w:sz w:val="26"/>
          <w:szCs w:val="26"/>
        </w:rPr>
      </w:pPr>
      <w:r>
        <w:rPr>
          <w:rFonts w:ascii="Times New Roman" w:hAnsi="Times New Roman"/>
          <w:sz w:val="26"/>
          <w:szCs w:val="26"/>
        </w:rPr>
        <w:t>где</w:t>
      </w:r>
    </w:p>
    <w:p>
      <w:pPr>
        <w:pStyle w:val="ConsPlusNormal"/>
        <w:spacing w:before="200" w:after="0"/>
        <w:ind w:left="720" w:hanging="0"/>
        <w:jc w:val="both"/>
        <w:rPr>
          <w:sz w:val="26"/>
          <w:szCs w:val="26"/>
        </w:rPr>
      </w:pPr>
      <w:r>
        <w:rPr/>
        <w:drawing>
          <wp:inline distT="0" distB="0" distL="0" distR="0">
            <wp:extent cx="220345" cy="238760"/>
            <wp:effectExtent l="0" t="0" r="0" b="0"/>
            <wp:docPr id="9" name="Изображение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36" descr=""/>
                    <pic:cNvPicPr>
                      <a:picLocks noChangeAspect="1" noChangeArrowheads="1"/>
                    </pic:cNvPicPr>
                  </pic:nvPicPr>
                  <pic:blipFill>
                    <a:blip r:embed="rId10"/>
                    <a:stretch>
                      <a:fillRect/>
                    </a:stretch>
                  </pic:blipFill>
                  <pic:spPr bwMode="auto">
                    <a:xfrm>
                      <a:off x="0" y="0"/>
                      <a:ext cx="220345" cy="238760"/>
                    </a:xfrm>
                    <a:prstGeom prst="rect">
                      <a:avLst/>
                    </a:prstGeom>
                  </pic:spPr>
                </pic:pic>
              </a:graphicData>
            </a:graphic>
          </wp:inline>
        </w:drawing>
      </w:r>
      <w:r>
        <w:rPr>
          <w:rFonts w:ascii="Times New Roman" w:hAnsi="Times New Roman"/>
          <w:sz w:val="26"/>
          <w:szCs w:val="26"/>
        </w:rPr>
        <w:t xml:space="preserve">, </w:t>
      </w:r>
      <w:r>
        <w:rPr/>
        <w:drawing>
          <wp:inline distT="0" distB="0" distL="0" distR="0">
            <wp:extent cx="220345" cy="238760"/>
            <wp:effectExtent l="0" t="0" r="0" b="0"/>
            <wp:docPr id="10" name="Изображение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37" descr=""/>
                    <pic:cNvPicPr>
                      <a:picLocks noChangeAspect="1" noChangeArrowheads="1"/>
                    </pic:cNvPicPr>
                  </pic:nvPicPr>
                  <pic:blipFill>
                    <a:blip r:embed="rId11"/>
                    <a:stretch>
                      <a:fillRect/>
                    </a:stretch>
                  </pic:blipFill>
                  <pic:spPr bwMode="auto">
                    <a:xfrm>
                      <a:off x="0" y="0"/>
                      <a:ext cx="220345" cy="238760"/>
                    </a:xfrm>
                    <a:prstGeom prst="rect">
                      <a:avLst/>
                    </a:prstGeom>
                  </pic:spPr>
                </pic:pic>
              </a:graphicData>
            </a:graphic>
          </wp:inline>
        </w:drawing>
      </w:r>
      <w:r>
        <w:rPr>
          <w:rFonts w:ascii="Times New Roman" w:hAnsi="Times New Roman"/>
          <w:sz w:val="26"/>
          <w:szCs w:val="26"/>
        </w:rPr>
        <w:t xml:space="preserve"> - показатели, относящиеся к данному виду машин, механизмов, оборудования;</w:t>
      </w:r>
    </w:p>
    <w:p>
      <w:pPr>
        <w:pStyle w:val="ConsPlusNormal"/>
        <w:spacing w:before="200" w:after="0"/>
        <w:ind w:left="720" w:hanging="0"/>
        <w:jc w:val="both"/>
        <w:rPr>
          <w:sz w:val="26"/>
          <w:szCs w:val="26"/>
        </w:rPr>
      </w:pPr>
      <w:r>
        <w:rPr>
          <w:rFonts w:ascii="Times New Roman" w:hAnsi="Times New Roman"/>
          <w:sz w:val="26"/>
          <w:szCs w:val="26"/>
        </w:rPr>
        <w:t>n - число показателей, учтенных в числителе.</w:t>
      </w:r>
    </w:p>
    <w:p>
      <w:pPr>
        <w:pStyle w:val="ConsPlusCell"/>
        <w:spacing w:before="200" w:after="0"/>
        <w:ind w:left="720" w:firstLine="709"/>
        <w:jc w:val="both"/>
        <w:rPr>
          <w:sz w:val="26"/>
          <w:szCs w:val="26"/>
        </w:rPr>
      </w:pPr>
      <w:r>
        <w:rPr>
          <w:rFonts w:ascii="Times New Roman" w:hAnsi="Times New Roman"/>
          <w:b/>
          <w:bCs/>
          <w:sz w:val="26"/>
          <w:szCs w:val="26"/>
        </w:rPr>
        <w:t>На котельной К</w:t>
      </w:r>
      <w:r>
        <w:rPr>
          <w:rFonts w:ascii="Times New Roman" w:hAnsi="Times New Roman"/>
          <w:b/>
          <w:bCs/>
          <w:color w:val="auto"/>
          <w:sz w:val="26"/>
          <w:szCs w:val="26"/>
          <w:lang w:eastAsia="zh-CN"/>
        </w:rPr>
        <w:t>м</w:t>
      </w:r>
      <w:r>
        <w:rPr>
          <w:rFonts w:ascii="Times New Roman" w:hAnsi="Times New Roman"/>
          <w:b/>
          <w:bCs/>
          <w:sz w:val="26"/>
          <w:szCs w:val="26"/>
        </w:rPr>
        <w:t xml:space="preserve"> = 1,0;</w:t>
      </w:r>
    </w:p>
    <w:p>
      <w:pPr>
        <w:pStyle w:val="ConsPlusNormal"/>
        <w:spacing w:before="200" w:after="0"/>
        <w:ind w:left="720" w:hanging="0"/>
        <w:jc w:val="both"/>
        <w:rPr/>
      </w:pPr>
      <w:r>
        <w:rPr>
          <w:rFonts w:ascii="Times New Roman" w:hAnsi="Times New Roman"/>
          <w:sz w:val="26"/>
          <w:szCs w:val="26"/>
        </w:rPr>
        <w:t xml:space="preserve">показатель наличия основных материально-технических ресурсов (Ктр) определяется аналогично по </w:t>
      </w:r>
      <w:hyperlink w:anchor="P169" w:tgtFrame=", (11)">
        <w:r>
          <w:rPr/>
          <w:t>формуле (11)</w:t>
        </w:r>
      </w:hyperlink>
      <w:r>
        <w:rPr>
          <w:rFonts w:ascii="Times New Roman" w:hAnsi="Times New Roman"/>
          <w:sz w:val="26"/>
          <w:szCs w:val="26"/>
        </w:rPr>
        <w:t xml:space="preserve"> по основной номенклатуре ресурсов (трубы, компенсаторы, арматура, сварочные материалы и т.п.). Принимаемые для определения значения общего Ктр частные показатели не должны быть выше 1,0.</w:t>
      </w:r>
    </w:p>
    <w:p>
      <w:pPr>
        <w:pStyle w:val="ConsPlusCell"/>
        <w:spacing w:before="200" w:after="0"/>
        <w:ind w:left="720" w:firstLine="709"/>
        <w:jc w:val="both"/>
        <w:rPr>
          <w:sz w:val="26"/>
          <w:szCs w:val="26"/>
        </w:rPr>
      </w:pPr>
      <w:r>
        <w:rPr>
          <w:rFonts w:ascii="Times New Roman" w:hAnsi="Times New Roman"/>
          <w:b/>
          <w:bCs/>
          <w:sz w:val="26"/>
          <w:szCs w:val="26"/>
        </w:rPr>
        <w:t>На котельной К</w:t>
      </w:r>
      <w:r>
        <w:rPr>
          <w:rFonts w:ascii="Times New Roman" w:hAnsi="Times New Roman"/>
          <w:b/>
          <w:bCs/>
          <w:color w:val="auto"/>
          <w:sz w:val="26"/>
          <w:szCs w:val="26"/>
          <w:lang w:eastAsia="zh-CN"/>
        </w:rPr>
        <w:t>тр</w:t>
      </w:r>
      <w:r>
        <w:rPr>
          <w:rFonts w:ascii="Times New Roman" w:hAnsi="Times New Roman"/>
          <w:b/>
          <w:bCs/>
          <w:sz w:val="26"/>
          <w:szCs w:val="26"/>
        </w:rPr>
        <w:t xml:space="preserve"> = 1,0;</w:t>
      </w:r>
    </w:p>
    <w:p>
      <w:pPr>
        <w:pStyle w:val="ConsPlusNormal"/>
        <w:spacing w:before="200" w:after="0"/>
        <w:ind w:left="720" w:hanging="0"/>
        <w:jc w:val="both"/>
        <w:rPr>
          <w:sz w:val="26"/>
          <w:szCs w:val="26"/>
        </w:rPr>
      </w:pPr>
      <w:r>
        <w:rPr>
          <w:rFonts w:ascii="Times New Roman" w:hAnsi="Times New Roman"/>
          <w:sz w:val="26"/>
          <w:szCs w:val="26"/>
        </w:rPr>
        <w:t>показатель укомплектованности передвижными автономными источниками электропитания (Кист) для ведения аварийно-восстановительных работ вычисляется как отношение фактического наличия данного оборудования (в единицах мощности - кВт) к потребности.</w:t>
      </w:r>
    </w:p>
    <w:p>
      <w:pPr>
        <w:pStyle w:val="ConsPlusCell"/>
        <w:spacing w:before="200" w:after="0"/>
        <w:ind w:left="720" w:firstLine="709"/>
        <w:jc w:val="both"/>
        <w:rPr>
          <w:sz w:val="26"/>
          <w:szCs w:val="26"/>
        </w:rPr>
      </w:pPr>
      <w:r>
        <w:rPr>
          <w:rFonts w:ascii="Times New Roman" w:hAnsi="Times New Roman"/>
          <w:b/>
          <w:bCs/>
          <w:sz w:val="26"/>
          <w:szCs w:val="26"/>
        </w:rPr>
        <w:t>На котельной К</w:t>
      </w:r>
      <w:r>
        <w:rPr>
          <w:rFonts w:ascii="Times New Roman" w:hAnsi="Times New Roman"/>
          <w:b/>
          <w:bCs/>
          <w:color w:val="auto"/>
          <w:sz w:val="26"/>
          <w:szCs w:val="26"/>
          <w:lang w:eastAsia="zh-CN"/>
        </w:rPr>
        <w:t>ист</w:t>
      </w:r>
      <w:r>
        <w:rPr>
          <w:rFonts w:ascii="Times New Roman" w:hAnsi="Times New Roman"/>
          <w:b/>
          <w:bCs/>
          <w:sz w:val="26"/>
          <w:szCs w:val="26"/>
        </w:rPr>
        <w:t xml:space="preserve"> = 1,0;</w:t>
      </w:r>
    </w:p>
    <w:p>
      <w:pPr>
        <w:pStyle w:val="ConsPlusNormal"/>
        <w:spacing w:before="200" w:after="0"/>
        <w:ind w:left="720" w:hanging="0"/>
        <w:jc w:val="both"/>
        <w:rPr>
          <w:sz w:val="26"/>
          <w:szCs w:val="26"/>
        </w:rPr>
      </w:pPr>
      <w:r>
        <w:rPr>
          <w:rFonts w:ascii="Times New Roman" w:hAnsi="Times New Roman"/>
          <w:sz w:val="26"/>
          <w:szCs w:val="26"/>
        </w:rPr>
        <w:t>показатель готовности теплоснабжающих организаций к проведению аварийно-восстановительных работ в системах теплоснабжения (общий показатель) базируется на показателях:</w:t>
      </w:r>
    </w:p>
    <w:p>
      <w:pPr>
        <w:pStyle w:val="ConsPlusNormal"/>
        <w:spacing w:before="200" w:after="0"/>
        <w:ind w:left="720" w:hanging="0"/>
        <w:jc w:val="both"/>
        <w:rPr>
          <w:sz w:val="26"/>
          <w:szCs w:val="26"/>
        </w:rPr>
      </w:pPr>
      <w:r>
        <w:rPr>
          <w:rFonts w:ascii="Times New Roman" w:hAnsi="Times New Roman"/>
          <w:sz w:val="26"/>
          <w:szCs w:val="26"/>
        </w:rPr>
        <w:t>укомплектованности ремонтным и оперативно-ремонтным персоналом;</w:t>
      </w:r>
    </w:p>
    <w:p>
      <w:pPr>
        <w:pStyle w:val="ConsPlusNormal"/>
        <w:spacing w:before="200" w:after="0"/>
        <w:ind w:left="720" w:hanging="0"/>
        <w:jc w:val="both"/>
        <w:rPr>
          <w:sz w:val="26"/>
          <w:szCs w:val="26"/>
        </w:rPr>
      </w:pPr>
      <w:r>
        <w:rPr>
          <w:rFonts w:ascii="Times New Roman" w:hAnsi="Times New Roman"/>
          <w:sz w:val="26"/>
          <w:szCs w:val="26"/>
        </w:rPr>
        <w:t>оснащенности машинами, специальными механизмами и оборудованием;</w:t>
      </w:r>
    </w:p>
    <w:p>
      <w:pPr>
        <w:pStyle w:val="ConsPlusNormal"/>
        <w:spacing w:before="200" w:after="0"/>
        <w:ind w:left="720" w:hanging="0"/>
        <w:jc w:val="both"/>
        <w:rPr>
          <w:sz w:val="26"/>
          <w:szCs w:val="26"/>
        </w:rPr>
      </w:pPr>
      <w:r>
        <w:rPr>
          <w:rFonts w:ascii="Times New Roman" w:hAnsi="Times New Roman"/>
          <w:sz w:val="26"/>
          <w:szCs w:val="26"/>
        </w:rPr>
        <w:t>наличия основных материально-технических ресурсов;</w:t>
      </w:r>
    </w:p>
    <w:p>
      <w:pPr>
        <w:pStyle w:val="ConsPlusNormal"/>
        <w:spacing w:before="200" w:after="0"/>
        <w:ind w:left="720" w:hanging="0"/>
        <w:jc w:val="both"/>
        <w:rPr>
          <w:sz w:val="26"/>
          <w:szCs w:val="26"/>
        </w:rPr>
      </w:pPr>
      <w:r>
        <w:rPr>
          <w:rFonts w:ascii="Times New Roman" w:hAnsi="Times New Roman"/>
          <w:sz w:val="26"/>
          <w:szCs w:val="26"/>
        </w:rPr>
        <w:t>укомплектованности передвижными автономными источниками электропитания для ведения аварийно-восстановительных работ.</w:t>
      </w:r>
    </w:p>
    <w:p>
      <w:pPr>
        <w:pStyle w:val="ConsPlusNormal"/>
        <w:spacing w:before="200" w:after="0"/>
        <w:ind w:left="720" w:hanging="0"/>
        <w:jc w:val="both"/>
        <w:rPr>
          <w:sz w:val="26"/>
          <w:szCs w:val="26"/>
        </w:rPr>
      </w:pPr>
      <w:r>
        <w:rPr>
          <w:rFonts w:ascii="Times New Roman" w:hAnsi="Times New Roman"/>
          <w:sz w:val="26"/>
          <w:szCs w:val="26"/>
        </w:rPr>
        <w:t>Общий показатель готовности теплоснабжающих организаций к проведению восстановительных работ в системах теплоснабжения к выполнению аварийно-восстановительных работ определяется следующим образом:</w:t>
      </w:r>
    </w:p>
    <w:p>
      <w:pPr>
        <w:pStyle w:val="ConsPlusNormal"/>
        <w:ind w:left="720" w:hanging="0"/>
        <w:jc w:val="both"/>
        <w:rPr>
          <w:rFonts w:ascii="Times New Roman" w:hAnsi="Times New Roman"/>
          <w:sz w:val="26"/>
          <w:szCs w:val="26"/>
        </w:rPr>
      </w:pPr>
      <w:r>
        <w:rPr>
          <w:rFonts w:ascii="Times New Roman" w:hAnsi="Times New Roman"/>
          <w:sz w:val="26"/>
          <w:szCs w:val="26"/>
        </w:rPr>
      </w:r>
    </w:p>
    <w:p>
      <w:pPr>
        <w:pStyle w:val="ConsPlusNormal"/>
        <w:ind w:left="720" w:hanging="0"/>
        <w:jc w:val="both"/>
        <w:rPr>
          <w:sz w:val="26"/>
          <w:szCs w:val="26"/>
        </w:rPr>
      </w:pPr>
      <w:r>
        <w:rPr>
          <w:rFonts w:ascii="Times New Roman" w:hAnsi="Times New Roman"/>
          <w:sz w:val="26"/>
          <w:szCs w:val="26"/>
        </w:rPr>
        <w:t>Кгот = 0,25 * Кп + 0,35 * Км + 0,3 * Ктр + 0,1 * Кист</w:t>
      </w:r>
    </w:p>
    <w:p>
      <w:pPr>
        <w:pStyle w:val="ConsPlusNormal"/>
        <w:ind w:left="720" w:hanging="0"/>
        <w:jc w:val="both"/>
        <w:rPr>
          <w:rFonts w:ascii="Times New Roman" w:hAnsi="Times New Roman"/>
          <w:sz w:val="26"/>
          <w:szCs w:val="26"/>
        </w:rPr>
      </w:pPr>
      <w:r>
        <w:rPr>
          <w:rFonts w:ascii="Times New Roman" w:hAnsi="Times New Roman"/>
          <w:sz w:val="26"/>
          <w:szCs w:val="26"/>
        </w:rPr>
      </w:r>
    </w:p>
    <w:p>
      <w:pPr>
        <w:pStyle w:val="ConsPlusNormal"/>
        <w:ind w:left="720" w:hanging="0"/>
        <w:jc w:val="both"/>
        <w:rPr>
          <w:sz w:val="26"/>
          <w:szCs w:val="26"/>
        </w:rPr>
      </w:pPr>
      <w:r>
        <w:rPr>
          <w:rFonts w:ascii="Times New Roman" w:hAnsi="Times New Roman"/>
          <w:sz w:val="26"/>
          <w:szCs w:val="26"/>
        </w:rPr>
        <w:t>Общая оценка готовности дается по следующим категориям:</w:t>
      </w:r>
    </w:p>
    <w:p>
      <w:pPr>
        <w:pStyle w:val="ConsPlusNormal"/>
        <w:ind w:left="720" w:hanging="0"/>
        <w:jc w:val="right"/>
        <w:rPr>
          <w:sz w:val="26"/>
          <w:szCs w:val="26"/>
        </w:rPr>
      </w:pPr>
      <w:r>
        <w:rPr>
          <w:rFonts w:ascii="Times New Roman" w:hAnsi="Times New Roman"/>
          <w:sz w:val="26"/>
          <w:szCs w:val="26"/>
        </w:rPr>
        <w:t>Таблица 27</w:t>
      </w:r>
    </w:p>
    <w:tbl>
      <w:tblPr>
        <w:tblW w:w="9639" w:type="dxa"/>
        <w:jc w:val="left"/>
        <w:tblInd w:w="0" w:type="dxa"/>
        <w:tblLayout w:type="fixed"/>
        <w:tblCellMar>
          <w:top w:w="102" w:type="dxa"/>
          <w:left w:w="57" w:type="dxa"/>
          <w:bottom w:w="102" w:type="dxa"/>
          <w:right w:w="62" w:type="dxa"/>
        </w:tblCellMar>
        <w:tblLook w:val="04a0"/>
      </w:tblPr>
      <w:tblGrid>
        <w:gridCol w:w="2296"/>
        <w:gridCol w:w="2483"/>
        <w:gridCol w:w="4860"/>
      </w:tblGrid>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left="720" w:hanging="0"/>
              <w:jc w:val="center"/>
              <w:rPr>
                <w:sz w:val="26"/>
                <w:szCs w:val="26"/>
              </w:rPr>
            </w:pPr>
            <w:r>
              <w:rPr>
                <w:rFonts w:ascii="Times New Roman" w:hAnsi="Times New Roman"/>
                <w:sz w:val="26"/>
                <w:szCs w:val="26"/>
              </w:rPr>
              <w:t>Кгот</w:t>
            </w:r>
          </w:p>
        </w:tc>
        <w:tc>
          <w:tcPr>
            <w:tcW w:w="24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left="720" w:hanging="0"/>
              <w:jc w:val="center"/>
              <w:rPr>
                <w:sz w:val="26"/>
                <w:szCs w:val="26"/>
              </w:rPr>
            </w:pPr>
            <w:r>
              <w:rPr>
                <w:rFonts w:ascii="Times New Roman" w:hAnsi="Times New Roman"/>
                <w:sz w:val="26"/>
                <w:szCs w:val="26"/>
              </w:rPr>
              <w:t>(Кп; Км); Ктр</w:t>
            </w:r>
          </w:p>
        </w:tc>
        <w:tc>
          <w:tcPr>
            <w:tcW w:w="48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numPr>
                <w:ilvl w:val="0"/>
                <w:numId w:val="1"/>
              </w:numPr>
              <w:jc w:val="center"/>
              <w:rPr>
                <w:sz w:val="26"/>
                <w:szCs w:val="26"/>
              </w:rPr>
            </w:pPr>
            <w:r>
              <w:rPr>
                <w:rFonts w:ascii="Times New Roman" w:hAnsi="Times New Roman"/>
                <w:sz w:val="26"/>
                <w:szCs w:val="26"/>
              </w:rPr>
              <w:t>Категория готовности</w:t>
            </w:r>
          </w:p>
        </w:tc>
      </w:tr>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left="720" w:hanging="0"/>
              <w:rPr>
                <w:sz w:val="26"/>
                <w:szCs w:val="26"/>
              </w:rPr>
            </w:pPr>
            <w:r>
              <w:rPr>
                <w:rFonts w:ascii="Times New Roman" w:hAnsi="Times New Roman"/>
                <w:sz w:val="26"/>
                <w:szCs w:val="26"/>
              </w:rPr>
              <w:t>0,85 - 1,0</w:t>
            </w:r>
          </w:p>
        </w:tc>
        <w:tc>
          <w:tcPr>
            <w:tcW w:w="24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left="720" w:hanging="0"/>
              <w:rPr>
                <w:sz w:val="26"/>
                <w:szCs w:val="26"/>
              </w:rPr>
            </w:pPr>
            <w:r>
              <w:rPr>
                <w:rFonts w:ascii="Times New Roman" w:hAnsi="Times New Roman"/>
                <w:sz w:val="26"/>
                <w:szCs w:val="26"/>
              </w:rPr>
              <w:t>0,75 и более</w:t>
            </w:r>
          </w:p>
        </w:tc>
        <w:tc>
          <w:tcPr>
            <w:tcW w:w="48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left="720" w:hanging="0"/>
              <w:rPr>
                <w:sz w:val="26"/>
                <w:szCs w:val="26"/>
              </w:rPr>
            </w:pPr>
            <w:r>
              <w:rPr>
                <w:rFonts w:ascii="Times New Roman" w:hAnsi="Times New Roman"/>
                <w:sz w:val="26"/>
                <w:szCs w:val="26"/>
              </w:rPr>
              <w:t>удовлетворительная готовность</w:t>
            </w:r>
          </w:p>
        </w:tc>
      </w:tr>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left="720" w:hanging="0"/>
              <w:rPr>
                <w:sz w:val="26"/>
                <w:szCs w:val="26"/>
              </w:rPr>
            </w:pPr>
            <w:r>
              <w:rPr>
                <w:rFonts w:ascii="Times New Roman" w:hAnsi="Times New Roman"/>
                <w:sz w:val="26"/>
                <w:szCs w:val="26"/>
              </w:rPr>
              <w:t>0,85 - 1,0</w:t>
            </w:r>
          </w:p>
        </w:tc>
        <w:tc>
          <w:tcPr>
            <w:tcW w:w="24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left="720" w:hanging="0"/>
              <w:rPr>
                <w:sz w:val="26"/>
                <w:szCs w:val="26"/>
              </w:rPr>
            </w:pPr>
            <w:r>
              <w:rPr>
                <w:rFonts w:ascii="Times New Roman" w:hAnsi="Times New Roman"/>
                <w:sz w:val="26"/>
                <w:szCs w:val="26"/>
              </w:rPr>
              <w:t>до 0,75</w:t>
            </w:r>
          </w:p>
        </w:tc>
        <w:tc>
          <w:tcPr>
            <w:tcW w:w="48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left="720" w:hanging="0"/>
              <w:rPr>
                <w:sz w:val="26"/>
                <w:szCs w:val="26"/>
              </w:rPr>
            </w:pPr>
            <w:r>
              <w:rPr>
                <w:rFonts w:ascii="Times New Roman" w:hAnsi="Times New Roman"/>
                <w:sz w:val="26"/>
                <w:szCs w:val="26"/>
              </w:rPr>
              <w:t>ограниченная готовность</w:t>
            </w:r>
          </w:p>
        </w:tc>
      </w:tr>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left="720" w:hanging="0"/>
              <w:rPr>
                <w:sz w:val="26"/>
                <w:szCs w:val="26"/>
              </w:rPr>
            </w:pPr>
            <w:r>
              <w:rPr>
                <w:rFonts w:ascii="Times New Roman" w:hAnsi="Times New Roman"/>
                <w:sz w:val="26"/>
                <w:szCs w:val="26"/>
              </w:rPr>
              <w:t>0,7 - 0,84</w:t>
            </w:r>
          </w:p>
        </w:tc>
        <w:tc>
          <w:tcPr>
            <w:tcW w:w="24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left="720" w:hanging="0"/>
              <w:rPr>
                <w:sz w:val="26"/>
                <w:szCs w:val="26"/>
              </w:rPr>
            </w:pPr>
            <w:r>
              <w:rPr>
                <w:rFonts w:ascii="Times New Roman" w:hAnsi="Times New Roman"/>
                <w:sz w:val="26"/>
                <w:szCs w:val="26"/>
              </w:rPr>
              <w:t>0,5 и более</w:t>
            </w:r>
          </w:p>
        </w:tc>
        <w:tc>
          <w:tcPr>
            <w:tcW w:w="48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left="720" w:hanging="0"/>
              <w:rPr>
                <w:sz w:val="26"/>
                <w:szCs w:val="26"/>
              </w:rPr>
            </w:pPr>
            <w:r>
              <w:rPr>
                <w:rFonts w:ascii="Times New Roman" w:hAnsi="Times New Roman"/>
                <w:sz w:val="26"/>
                <w:szCs w:val="26"/>
              </w:rPr>
              <w:t>ограниченная готовность</w:t>
            </w:r>
          </w:p>
        </w:tc>
      </w:tr>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left="720" w:hanging="0"/>
              <w:rPr>
                <w:sz w:val="26"/>
                <w:szCs w:val="26"/>
              </w:rPr>
            </w:pPr>
            <w:r>
              <w:rPr>
                <w:rFonts w:ascii="Times New Roman" w:hAnsi="Times New Roman"/>
                <w:sz w:val="26"/>
                <w:szCs w:val="26"/>
              </w:rPr>
              <w:t>0,7 - 0,84</w:t>
            </w:r>
          </w:p>
        </w:tc>
        <w:tc>
          <w:tcPr>
            <w:tcW w:w="24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left="720" w:hanging="0"/>
              <w:rPr>
                <w:sz w:val="26"/>
                <w:szCs w:val="26"/>
              </w:rPr>
            </w:pPr>
            <w:r>
              <w:rPr>
                <w:rFonts w:ascii="Times New Roman" w:hAnsi="Times New Roman"/>
                <w:sz w:val="26"/>
                <w:szCs w:val="26"/>
              </w:rPr>
              <w:t>до 0,5</w:t>
            </w:r>
          </w:p>
        </w:tc>
        <w:tc>
          <w:tcPr>
            <w:tcW w:w="48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left="720" w:hanging="0"/>
              <w:rPr>
                <w:sz w:val="26"/>
                <w:szCs w:val="26"/>
              </w:rPr>
            </w:pPr>
            <w:r>
              <w:rPr>
                <w:rFonts w:ascii="Times New Roman" w:hAnsi="Times New Roman"/>
                <w:sz w:val="26"/>
                <w:szCs w:val="26"/>
              </w:rPr>
              <w:t>неготовность</w:t>
            </w:r>
          </w:p>
        </w:tc>
      </w:tr>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left="720" w:hanging="0"/>
              <w:rPr>
                <w:sz w:val="26"/>
                <w:szCs w:val="26"/>
              </w:rPr>
            </w:pPr>
            <w:r>
              <w:rPr>
                <w:rFonts w:ascii="Times New Roman" w:hAnsi="Times New Roman"/>
                <w:sz w:val="26"/>
                <w:szCs w:val="26"/>
              </w:rPr>
              <w:t>менее 0,7</w:t>
            </w:r>
          </w:p>
        </w:tc>
        <w:tc>
          <w:tcPr>
            <w:tcW w:w="24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left="720" w:hanging="0"/>
              <w:rPr>
                <w:sz w:val="26"/>
                <w:szCs w:val="26"/>
              </w:rPr>
            </w:pPr>
            <w:r>
              <w:rPr>
                <w:rFonts w:ascii="Times New Roman" w:hAnsi="Times New Roman"/>
                <w:sz w:val="26"/>
                <w:szCs w:val="26"/>
              </w:rPr>
              <w:t>-</w:t>
            </w:r>
          </w:p>
        </w:tc>
        <w:tc>
          <w:tcPr>
            <w:tcW w:w="48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left="720" w:hanging="0"/>
              <w:rPr>
                <w:sz w:val="26"/>
                <w:szCs w:val="26"/>
              </w:rPr>
            </w:pPr>
            <w:r>
              <w:rPr>
                <w:rFonts w:ascii="Times New Roman" w:hAnsi="Times New Roman"/>
                <w:sz w:val="26"/>
                <w:szCs w:val="26"/>
              </w:rPr>
              <w:t>неготовность</w:t>
            </w:r>
          </w:p>
        </w:tc>
      </w:tr>
    </w:tbl>
    <w:p>
      <w:pPr>
        <w:pStyle w:val="ConsPlusNormal"/>
        <w:ind w:left="720" w:hanging="0"/>
        <w:jc w:val="both"/>
        <w:rPr>
          <w:sz w:val="26"/>
          <w:szCs w:val="26"/>
        </w:rPr>
      </w:pPr>
      <w:r>
        <w:rPr>
          <w:rFonts w:ascii="Times New Roman" w:hAnsi="Times New Roman"/>
          <w:b/>
          <w:bCs/>
          <w:sz w:val="26"/>
          <w:szCs w:val="26"/>
        </w:rPr>
        <w:t>На котельной :  Кгот = 0,25 * 1,0 + 0,35 * 1,0 + 0,3 * 1,0 + 0,1 * 1,0 = 1,0</w:t>
      </w:r>
    </w:p>
    <w:p>
      <w:pPr>
        <w:pStyle w:val="ConsPlusNormal"/>
        <w:ind w:left="720" w:hanging="0"/>
        <w:jc w:val="both"/>
        <w:rPr>
          <w:sz w:val="26"/>
          <w:szCs w:val="26"/>
        </w:rPr>
      </w:pPr>
      <w:r>
        <w:rPr>
          <w:rFonts w:ascii="Times New Roman" w:hAnsi="Times New Roman"/>
          <w:b/>
          <w:bCs/>
          <w:sz w:val="26"/>
          <w:szCs w:val="26"/>
        </w:rPr>
        <w:t>Общая оценка готовности к проведению АВР — удовлетворительная готовность.</w:t>
      </w:r>
    </w:p>
    <w:p>
      <w:pPr>
        <w:pStyle w:val="ConsPlusNormal"/>
        <w:ind w:left="720" w:hanging="0"/>
        <w:jc w:val="both"/>
        <w:rPr>
          <w:sz w:val="26"/>
          <w:szCs w:val="26"/>
        </w:rPr>
      </w:pPr>
      <w:r>
        <w:rPr>
          <w:sz w:val="26"/>
          <w:szCs w:val="26"/>
        </w:rPr>
      </w:r>
    </w:p>
    <w:p>
      <w:pPr>
        <w:pStyle w:val="ConsPlusNormal"/>
        <w:ind w:left="720" w:hanging="0"/>
        <w:jc w:val="both"/>
        <w:rPr>
          <w:sz w:val="26"/>
          <w:szCs w:val="26"/>
        </w:rPr>
      </w:pPr>
      <w:r>
        <w:rPr>
          <w:sz w:val="26"/>
          <w:szCs w:val="26"/>
        </w:rPr>
      </w:r>
    </w:p>
    <w:p>
      <w:pPr>
        <w:pStyle w:val="ConsPlusNormal"/>
        <w:ind w:left="720" w:hanging="0"/>
        <w:jc w:val="both"/>
        <w:rPr>
          <w:sz w:val="26"/>
          <w:szCs w:val="26"/>
        </w:rPr>
      </w:pPr>
      <w:r>
        <w:rPr>
          <w:rFonts w:ascii="Times New Roman" w:hAnsi="Times New Roman"/>
          <w:sz w:val="26"/>
          <w:szCs w:val="26"/>
        </w:rPr>
        <w:t>Оценка надежности систем теплоснабжения.</w:t>
      </w:r>
    </w:p>
    <w:p>
      <w:pPr>
        <w:pStyle w:val="ConsPlusNormal"/>
        <w:spacing w:before="200" w:after="0"/>
        <w:ind w:left="720" w:hanging="0"/>
        <w:jc w:val="both"/>
        <w:rPr>
          <w:sz w:val="26"/>
          <w:szCs w:val="26"/>
        </w:rPr>
      </w:pPr>
      <w:r>
        <w:rPr>
          <w:rFonts w:ascii="Times New Roman" w:hAnsi="Times New Roman"/>
          <w:sz w:val="26"/>
          <w:szCs w:val="26"/>
        </w:rPr>
        <w:t>а) оценка надежности источников тепловой энергии.</w:t>
      </w:r>
    </w:p>
    <w:p>
      <w:pPr>
        <w:pStyle w:val="ConsPlusNormal"/>
        <w:spacing w:before="200" w:after="0"/>
        <w:ind w:left="720" w:hanging="0"/>
        <w:jc w:val="both"/>
        <w:rPr>
          <w:sz w:val="26"/>
          <w:szCs w:val="26"/>
        </w:rPr>
      </w:pPr>
      <w:r>
        <w:rPr>
          <w:rFonts w:ascii="Times New Roman" w:hAnsi="Times New Roman"/>
          <w:sz w:val="26"/>
          <w:szCs w:val="26"/>
        </w:rPr>
        <w:t>В зависимости от полученных показателей надежности Кэ, Кв, Кт и Ки источники тепловой энергии могут быть оценены как:</w:t>
      </w:r>
    </w:p>
    <w:p>
      <w:pPr>
        <w:pStyle w:val="ConsPlusNonformat"/>
        <w:spacing w:before="200" w:after="0"/>
        <w:ind w:left="720" w:firstLine="709"/>
        <w:jc w:val="both"/>
        <w:rPr>
          <w:sz w:val="26"/>
          <w:szCs w:val="26"/>
        </w:rPr>
      </w:pPr>
      <w:r>
        <w:rPr>
          <w:rFonts w:ascii="Times New Roman" w:hAnsi="Times New Roman"/>
          <w:sz w:val="26"/>
          <w:szCs w:val="26"/>
        </w:rPr>
        <w:t>высоконадежные   - при Кэ = Кв = Кт = Ки = 1;</w:t>
      </w:r>
    </w:p>
    <w:p>
      <w:pPr>
        <w:pStyle w:val="ConsPlusNonformat"/>
        <w:ind w:left="720" w:firstLine="709"/>
        <w:jc w:val="both"/>
        <w:rPr>
          <w:sz w:val="26"/>
          <w:szCs w:val="26"/>
        </w:rPr>
      </w:pPr>
      <w:r>
        <w:rPr>
          <w:rFonts w:ascii="Times New Roman" w:hAnsi="Times New Roman"/>
          <w:sz w:val="26"/>
          <w:szCs w:val="26"/>
        </w:rPr>
        <w:t>надежные         - при Кэ = Кв = Кт = 1 и Ки = 0,5;</w:t>
      </w:r>
    </w:p>
    <w:p>
      <w:pPr>
        <w:pStyle w:val="ConsPlusNonformat"/>
        <w:ind w:left="720" w:firstLine="709"/>
        <w:jc w:val="both"/>
        <w:rPr>
          <w:sz w:val="26"/>
          <w:szCs w:val="26"/>
        </w:rPr>
      </w:pPr>
      <w:r>
        <w:rPr>
          <w:rFonts w:ascii="Times New Roman" w:hAnsi="Times New Roman"/>
          <w:sz w:val="26"/>
          <w:szCs w:val="26"/>
        </w:rPr>
        <w:t>малонадежные     - при Ки = 0,5 и  при  значении  меньше  1  одного  из</w:t>
      </w:r>
    </w:p>
    <w:p>
      <w:pPr>
        <w:pStyle w:val="ConsPlusNonformat"/>
        <w:ind w:left="720" w:firstLine="709"/>
        <w:jc w:val="both"/>
        <w:rPr>
          <w:sz w:val="26"/>
          <w:szCs w:val="26"/>
        </w:rPr>
      </w:pPr>
      <w:r>
        <w:rPr>
          <w:rFonts w:ascii="Times New Roman" w:hAnsi="Times New Roman"/>
          <w:sz w:val="26"/>
          <w:szCs w:val="26"/>
        </w:rPr>
        <w:t>показателей Кэ, Кв, Кт;</w:t>
      </w:r>
    </w:p>
    <w:p>
      <w:pPr>
        <w:pStyle w:val="ConsPlusNonformat"/>
        <w:ind w:left="720" w:firstLine="709"/>
        <w:jc w:val="both"/>
        <w:rPr>
          <w:sz w:val="26"/>
          <w:szCs w:val="26"/>
        </w:rPr>
      </w:pPr>
      <w:r>
        <w:rPr>
          <w:rFonts w:ascii="Times New Roman" w:hAnsi="Times New Roman"/>
          <w:sz w:val="26"/>
          <w:szCs w:val="26"/>
        </w:rPr>
        <w:t>ненадежные       - при Ки = 0,2 и/или значении меньше 1 у 2-х  и  более</w:t>
      </w:r>
    </w:p>
    <w:p>
      <w:pPr>
        <w:pStyle w:val="ConsPlusNonformat"/>
        <w:ind w:left="720" w:firstLine="709"/>
        <w:jc w:val="both"/>
        <w:rPr>
          <w:sz w:val="26"/>
          <w:szCs w:val="26"/>
        </w:rPr>
      </w:pPr>
      <w:r>
        <w:rPr>
          <w:rFonts w:ascii="Times New Roman" w:hAnsi="Times New Roman"/>
          <w:sz w:val="26"/>
          <w:szCs w:val="26"/>
        </w:rPr>
        <w:t>показателей Кэ, Кв, Кт.</w:t>
      </w:r>
    </w:p>
    <w:p>
      <w:pPr>
        <w:pStyle w:val="ConsPlusNonformat"/>
        <w:ind w:left="720" w:firstLine="709"/>
        <w:jc w:val="both"/>
        <w:rPr>
          <w:rFonts w:ascii="Times New Roman" w:hAnsi="Times New Roman"/>
          <w:sz w:val="26"/>
          <w:szCs w:val="26"/>
        </w:rPr>
      </w:pPr>
      <w:r>
        <w:rPr>
          <w:rFonts w:ascii="Times New Roman" w:hAnsi="Times New Roman"/>
          <w:sz w:val="26"/>
          <w:szCs w:val="26"/>
        </w:rPr>
      </w:r>
    </w:p>
    <w:p>
      <w:pPr>
        <w:pStyle w:val="ConsPlusNonformat"/>
        <w:ind w:left="720" w:firstLine="709"/>
        <w:jc w:val="both"/>
        <w:rPr>
          <w:sz w:val="26"/>
          <w:szCs w:val="26"/>
        </w:rPr>
      </w:pPr>
      <w:r>
        <w:rPr>
          <w:rFonts w:ascii="Times New Roman" w:hAnsi="Times New Roman"/>
          <w:b/>
          <w:bCs/>
          <w:sz w:val="26"/>
          <w:szCs w:val="26"/>
        </w:rPr>
        <w:t>На котельной</w:t>
      </w:r>
    </w:p>
    <w:p>
      <w:pPr>
        <w:pStyle w:val="ConsPlusNonformat"/>
        <w:ind w:left="720" w:firstLine="709"/>
        <w:jc w:val="both"/>
        <w:rPr>
          <w:sz w:val="26"/>
          <w:szCs w:val="26"/>
        </w:rPr>
      </w:pPr>
      <w:r>
        <w:rPr>
          <w:rFonts w:ascii="Times New Roman" w:hAnsi="Times New Roman"/>
          <w:b/>
          <w:bCs/>
          <w:sz w:val="26"/>
          <w:szCs w:val="26"/>
        </w:rPr>
        <w:t>Кэ = 1,0</w:t>
      </w:r>
    </w:p>
    <w:p>
      <w:pPr>
        <w:pStyle w:val="ConsPlusNonformat"/>
        <w:shd w:val="clear" w:color="auto" w:fill="FFFF00"/>
        <w:ind w:left="720" w:firstLine="709"/>
        <w:jc w:val="both"/>
        <w:rPr>
          <w:sz w:val="26"/>
          <w:szCs w:val="26"/>
        </w:rPr>
      </w:pPr>
      <w:r>
        <w:rPr>
          <w:rFonts w:ascii="Times New Roman" w:hAnsi="Times New Roman"/>
          <w:b/>
          <w:bCs/>
          <w:sz w:val="26"/>
          <w:szCs w:val="26"/>
        </w:rPr>
        <w:t>Кв = 1,0</w:t>
      </w:r>
    </w:p>
    <w:p>
      <w:pPr>
        <w:pStyle w:val="ConsPlusNonformat"/>
        <w:ind w:left="720" w:firstLine="709"/>
        <w:jc w:val="both"/>
        <w:rPr>
          <w:sz w:val="26"/>
          <w:szCs w:val="26"/>
        </w:rPr>
      </w:pPr>
      <w:r>
        <w:rPr>
          <w:rFonts w:ascii="Times New Roman" w:hAnsi="Times New Roman"/>
          <w:b/>
          <w:bCs/>
          <w:sz w:val="26"/>
          <w:szCs w:val="26"/>
        </w:rPr>
        <w:t>Кт = 1 и Ки = 0,6;</w:t>
      </w:r>
    </w:p>
    <w:p>
      <w:pPr>
        <w:pStyle w:val="ConsPlusNonformat"/>
        <w:shd w:val="clear" w:color="auto" w:fill="FFFF00"/>
        <w:ind w:left="720" w:firstLine="709"/>
        <w:jc w:val="both"/>
        <w:rPr>
          <w:sz w:val="26"/>
          <w:szCs w:val="26"/>
        </w:rPr>
      </w:pPr>
      <w:r>
        <w:rPr>
          <w:rFonts w:ascii="Times New Roman" w:hAnsi="Times New Roman"/>
          <w:b/>
          <w:bCs/>
          <w:sz w:val="26"/>
          <w:szCs w:val="26"/>
        </w:rPr>
        <w:t>Оценка надежности-надежный источник теплоснабжения</w:t>
      </w:r>
    </w:p>
    <w:p>
      <w:pPr>
        <w:pStyle w:val="ConsPlusNormal"/>
        <w:ind w:left="720" w:hanging="0"/>
        <w:jc w:val="both"/>
        <w:rPr>
          <w:sz w:val="26"/>
          <w:szCs w:val="26"/>
        </w:rPr>
      </w:pPr>
      <w:r>
        <w:rPr>
          <w:rFonts w:ascii="Times New Roman" w:hAnsi="Times New Roman"/>
          <w:sz w:val="26"/>
          <w:szCs w:val="26"/>
        </w:rPr>
        <w:t>б) оценка надежности тепловых сетей.</w:t>
      </w:r>
    </w:p>
    <w:p>
      <w:pPr>
        <w:pStyle w:val="ConsPlusNormal"/>
        <w:spacing w:before="200" w:after="0"/>
        <w:ind w:left="720" w:hanging="0"/>
        <w:jc w:val="both"/>
        <w:rPr>
          <w:sz w:val="26"/>
          <w:szCs w:val="26"/>
        </w:rPr>
      </w:pPr>
      <w:r>
        <w:rPr>
          <w:rFonts w:ascii="Times New Roman" w:hAnsi="Times New Roman"/>
          <w:sz w:val="26"/>
          <w:szCs w:val="26"/>
        </w:rPr>
        <w:t>В зависимости от полученных показателей надежности тепловые сети могут быть оценены как:</w:t>
      </w:r>
    </w:p>
    <w:p>
      <w:pPr>
        <w:pStyle w:val="ConsPlusCell"/>
        <w:spacing w:before="200" w:after="0"/>
        <w:ind w:left="720" w:firstLine="709"/>
        <w:jc w:val="both"/>
        <w:rPr>
          <w:sz w:val="26"/>
          <w:szCs w:val="26"/>
        </w:rPr>
      </w:pPr>
      <w:r>
        <w:rPr>
          <w:rFonts w:ascii="Times New Roman" w:hAnsi="Times New Roman"/>
          <w:sz w:val="26"/>
          <w:szCs w:val="26"/>
        </w:rPr>
        <w:t>высоконадежные   - более 0,9;</w:t>
      </w:r>
    </w:p>
    <w:p>
      <w:pPr>
        <w:pStyle w:val="ConsPlusCell"/>
        <w:ind w:left="720" w:firstLine="709"/>
        <w:jc w:val="both"/>
        <w:rPr>
          <w:sz w:val="26"/>
          <w:szCs w:val="26"/>
        </w:rPr>
      </w:pPr>
      <w:r>
        <w:rPr>
          <w:rFonts w:ascii="Times New Roman" w:hAnsi="Times New Roman"/>
          <w:sz w:val="26"/>
          <w:szCs w:val="26"/>
        </w:rPr>
        <w:t>надежные         - 0,75 - 0,89;</w:t>
      </w:r>
    </w:p>
    <w:p>
      <w:pPr>
        <w:pStyle w:val="ConsPlusCell"/>
        <w:ind w:left="720" w:firstLine="709"/>
        <w:jc w:val="both"/>
        <w:rPr>
          <w:sz w:val="26"/>
          <w:szCs w:val="26"/>
        </w:rPr>
      </w:pPr>
      <w:r>
        <w:rPr>
          <w:rFonts w:ascii="Times New Roman" w:hAnsi="Times New Roman"/>
          <w:sz w:val="26"/>
          <w:szCs w:val="26"/>
        </w:rPr>
        <w:t>малонадежные     - 0,5 - 0,74;</w:t>
      </w:r>
    </w:p>
    <w:p>
      <w:pPr>
        <w:pStyle w:val="ConsPlusCell"/>
        <w:ind w:left="720" w:firstLine="709"/>
        <w:jc w:val="both"/>
        <w:rPr>
          <w:sz w:val="26"/>
          <w:szCs w:val="26"/>
        </w:rPr>
      </w:pPr>
      <w:r>
        <w:rPr>
          <w:rFonts w:ascii="Times New Roman" w:hAnsi="Times New Roman"/>
          <w:sz w:val="26"/>
          <w:szCs w:val="26"/>
        </w:rPr>
        <w:t>ненадежные       - менее 0,5.</w:t>
      </w:r>
    </w:p>
    <w:p>
      <w:pPr>
        <w:pStyle w:val="Normal"/>
        <w:ind w:left="720" w:hanging="0"/>
        <w:jc w:val="both"/>
        <w:rPr>
          <w:sz w:val="26"/>
          <w:szCs w:val="26"/>
        </w:rPr>
      </w:pPr>
      <w:r>
        <w:rPr>
          <w:b/>
          <w:bCs/>
          <w:sz w:val="26"/>
          <w:szCs w:val="26"/>
        </w:rPr>
        <w:t>На котельной</w:t>
      </w:r>
    </w:p>
    <w:p>
      <w:pPr>
        <w:pStyle w:val="ConsPlusNonformat"/>
        <w:rPr>
          <w:rFonts w:ascii="Times New Roman" w:hAnsi="Times New Roman"/>
          <w:sz w:val="26"/>
          <w:szCs w:val="26"/>
        </w:rPr>
      </w:pPr>
      <w:r>
        <w:rPr>
          <w:rFonts w:ascii="Times New Roman" w:hAnsi="Times New Roman"/>
          <w:sz w:val="26"/>
          <w:szCs w:val="26"/>
        </w:rPr>
        <w:tab/>
      </w:r>
      <w:r>
        <w:rPr>
          <w:rFonts w:ascii="Times New Roman" w:hAnsi="Times New Roman"/>
          <w:sz w:val="26"/>
          <w:szCs w:val="26"/>
          <w:shd w:fill="FFFF00" w:val="clear"/>
        </w:rPr>
        <w:t>Кс = 0,755-надежные тепловые сети</w:t>
      </w:r>
    </w:p>
    <w:p>
      <w:pPr>
        <w:pStyle w:val="ConsPlusCell"/>
        <w:rPr>
          <w:rFonts w:ascii="Times New Roman" w:hAnsi="Times New Roman"/>
          <w:sz w:val="26"/>
          <w:szCs w:val="26"/>
          <w:highlight w:val="none"/>
          <w:shd w:fill="FFFF00" w:val="clear"/>
        </w:rPr>
      </w:pPr>
      <w:r>
        <w:rPr>
          <w:rFonts w:ascii="Times New Roman" w:hAnsi="Times New Roman"/>
          <w:sz w:val="26"/>
          <w:szCs w:val="26"/>
          <w:shd w:fill="FFFF00" w:val="clear"/>
        </w:rPr>
      </w:r>
    </w:p>
    <w:p>
      <w:pPr>
        <w:pStyle w:val="ConsPlusNormal"/>
        <w:ind w:left="720" w:hanging="0"/>
        <w:jc w:val="both"/>
        <w:rPr>
          <w:sz w:val="26"/>
          <w:szCs w:val="26"/>
        </w:rPr>
      </w:pPr>
      <w:r>
        <w:rPr>
          <w:rFonts w:ascii="Times New Roman" w:hAnsi="Times New Roman"/>
          <w:sz w:val="26"/>
          <w:szCs w:val="26"/>
        </w:rPr>
        <w:t>в) оценка надежности систем теплоснабжения в целом.</w:t>
      </w:r>
    </w:p>
    <w:p>
      <w:pPr>
        <w:pStyle w:val="Style25"/>
        <w:ind w:left="720" w:hanging="0"/>
        <w:rPr>
          <w:sz w:val="26"/>
          <w:szCs w:val="26"/>
        </w:rPr>
      </w:pPr>
      <w:r>
        <w:rPr>
          <w:rFonts w:ascii="Times New Roman" w:hAnsi="Times New Roman"/>
          <w:sz w:val="26"/>
          <w:szCs w:val="26"/>
        </w:rPr>
        <w:t>Общая оценка надежности системы теплоснабжения определяется исходя из оценок надежности источников тепловой энергии и тепловых сетей.</w:t>
      </w:r>
    </w:p>
    <w:p>
      <w:pPr>
        <w:pStyle w:val="ConsPlusNormal"/>
        <w:spacing w:before="200" w:after="0"/>
        <w:ind w:left="720" w:hanging="0"/>
        <w:jc w:val="both"/>
        <w:rPr>
          <w:sz w:val="26"/>
          <w:szCs w:val="26"/>
        </w:rPr>
      </w:pPr>
      <w:r>
        <w:rPr>
          <w:rFonts w:ascii="Times New Roman" w:hAnsi="Times New Roman"/>
          <w:sz w:val="26"/>
          <w:szCs w:val="26"/>
        </w:rPr>
        <w:t>Общая оценка надежности системы теплоснабжения определяется как наихудшая из оценок надежности источников тепловой энергии или тепловых сетей.</w:t>
      </w:r>
    </w:p>
    <w:p>
      <w:pPr>
        <w:pStyle w:val="ConsPlusNormal"/>
        <w:shd w:val="clear" w:color="auto" w:fill="FFFF00"/>
        <w:spacing w:before="200" w:after="0"/>
        <w:ind w:left="786" w:hanging="0"/>
        <w:jc w:val="both"/>
        <w:rPr>
          <w:sz w:val="26"/>
          <w:szCs w:val="26"/>
        </w:rPr>
      </w:pPr>
      <w:r>
        <w:rPr>
          <w:rFonts w:ascii="Times New Roman" w:hAnsi="Times New Roman"/>
          <w:b/>
          <w:bCs/>
          <w:sz w:val="26"/>
          <w:szCs w:val="26"/>
          <w:u w:val="single"/>
        </w:rPr>
        <w:t>Вывод: Общая оценка надежности системы теплоснабжения —надежная.</w:t>
      </w:r>
    </w:p>
    <w:p>
      <w:pPr>
        <w:pStyle w:val="Normal"/>
        <w:spacing w:lineRule="auto" w:line="360"/>
        <w:ind w:left="142" w:hanging="142"/>
        <w:rPr>
          <w:sz w:val="26"/>
          <w:szCs w:val="26"/>
        </w:rPr>
      </w:pPr>
      <w:r>
        <w:rPr>
          <w:sz w:val="26"/>
          <w:szCs w:val="26"/>
        </w:rPr>
      </w:r>
    </w:p>
    <w:p>
      <w:pPr>
        <w:pStyle w:val="Normal"/>
        <w:spacing w:lineRule="auto" w:line="360"/>
        <w:ind w:left="142" w:hanging="142"/>
        <w:rPr>
          <w:sz w:val="26"/>
          <w:szCs w:val="26"/>
        </w:rPr>
      </w:pPr>
      <w:r>
        <w:rPr>
          <w:sz w:val="26"/>
          <w:szCs w:val="26"/>
        </w:rPr>
      </w:r>
    </w:p>
    <w:p>
      <w:pPr>
        <w:pStyle w:val="Normal"/>
        <w:jc w:val="center"/>
        <w:rPr>
          <w:sz w:val="26"/>
          <w:szCs w:val="26"/>
        </w:rPr>
      </w:pPr>
      <w:r>
        <w:rPr>
          <w:b/>
          <w:bCs/>
          <w:sz w:val="26"/>
          <w:szCs w:val="26"/>
        </w:rPr>
        <w:t>Раздел 12. Сценарий развития аварий</w:t>
      </w:r>
    </w:p>
    <w:p>
      <w:pPr>
        <w:pStyle w:val="Normal"/>
        <w:jc w:val="center"/>
        <w:rPr>
          <w:sz w:val="26"/>
          <w:szCs w:val="26"/>
        </w:rPr>
      </w:pPr>
      <w:r>
        <w:rPr>
          <w:b/>
          <w:bCs/>
          <w:sz w:val="26"/>
          <w:szCs w:val="26"/>
        </w:rPr>
        <w:t xml:space="preserve">в системе теплоснабжения </w:t>
      </w:r>
      <w:r>
        <w:rPr>
          <w:rFonts w:eastAsia="Times New Roman"/>
          <w:b/>
          <w:bCs/>
          <w:color w:val="auto"/>
          <w:sz w:val="26"/>
          <w:szCs w:val="26"/>
          <w:lang w:eastAsia="zh-CN"/>
        </w:rPr>
        <w:t>Доможаковского</w:t>
      </w:r>
      <w:r>
        <w:rPr>
          <w:b/>
          <w:bCs/>
          <w:sz w:val="26"/>
          <w:szCs w:val="26"/>
        </w:rPr>
        <w:t xml:space="preserve"> сельсовета</w:t>
      </w:r>
    </w:p>
    <w:p>
      <w:pPr>
        <w:pStyle w:val="Normal"/>
        <w:jc w:val="center"/>
        <w:rPr>
          <w:sz w:val="26"/>
          <w:szCs w:val="26"/>
        </w:rPr>
      </w:pPr>
      <w:r>
        <w:rPr>
          <w:b/>
          <w:bCs/>
          <w:sz w:val="26"/>
          <w:szCs w:val="26"/>
        </w:rPr>
        <w:t>с моделированием гидравлических режимов работы систем,</w:t>
      </w:r>
    </w:p>
    <w:p>
      <w:pPr>
        <w:pStyle w:val="Normal"/>
        <w:jc w:val="center"/>
        <w:rPr>
          <w:sz w:val="26"/>
          <w:szCs w:val="26"/>
        </w:rPr>
      </w:pPr>
      <w:r>
        <w:rPr>
          <w:b/>
          <w:bCs/>
          <w:sz w:val="26"/>
          <w:szCs w:val="26"/>
        </w:rPr>
        <w:t>в том числе при отказе элементов тепловых сетей и при аварийных режимах</w:t>
      </w:r>
    </w:p>
    <w:p>
      <w:pPr>
        <w:pStyle w:val="Normal"/>
        <w:jc w:val="center"/>
        <w:rPr>
          <w:sz w:val="26"/>
          <w:szCs w:val="26"/>
        </w:rPr>
      </w:pPr>
      <w:r>
        <w:rPr>
          <w:b/>
          <w:bCs/>
          <w:sz w:val="26"/>
          <w:szCs w:val="26"/>
        </w:rPr>
        <w:t>работы систем теплоснабжения, связанных с прекращением подачи</w:t>
      </w:r>
    </w:p>
    <w:p>
      <w:pPr>
        <w:pStyle w:val="Normal"/>
        <w:jc w:val="center"/>
        <w:rPr>
          <w:sz w:val="26"/>
          <w:szCs w:val="26"/>
        </w:rPr>
      </w:pPr>
      <w:r>
        <w:rPr>
          <w:b/>
          <w:bCs/>
          <w:sz w:val="26"/>
          <w:szCs w:val="26"/>
        </w:rPr>
        <w:t>тепловой энергии.</w:t>
      </w:r>
    </w:p>
    <w:p>
      <w:pPr>
        <w:pStyle w:val="Normal"/>
        <w:jc w:val="center"/>
        <w:rPr>
          <w:sz w:val="26"/>
          <w:szCs w:val="26"/>
        </w:rPr>
      </w:pPr>
      <w:r>
        <w:rPr>
          <w:sz w:val="26"/>
          <w:szCs w:val="26"/>
        </w:rPr>
      </w:r>
    </w:p>
    <w:p>
      <w:pPr>
        <w:pStyle w:val="Normal"/>
        <w:jc w:val="center"/>
        <w:rPr>
          <w:sz w:val="26"/>
          <w:szCs w:val="26"/>
        </w:rPr>
      </w:pPr>
      <w:r>
        <w:rPr>
          <w:sz w:val="26"/>
          <w:szCs w:val="26"/>
        </w:rPr>
      </w:r>
    </w:p>
    <w:p>
      <w:pPr>
        <w:pStyle w:val="ListParagraph"/>
        <w:ind w:left="720" w:hanging="0"/>
        <w:rPr>
          <w:sz w:val="26"/>
          <w:szCs w:val="26"/>
        </w:rPr>
      </w:pPr>
      <w:r>
        <w:rPr>
          <w:sz w:val="26"/>
          <w:szCs w:val="26"/>
        </w:rPr>
        <w:tab/>
        <w:t>1. Перечень возможных сценариев развития аварий в системах теплоснабжения:</w:t>
      </w:r>
    </w:p>
    <w:p>
      <w:pPr>
        <w:pStyle w:val="ListParagraph"/>
        <w:rPr>
          <w:sz w:val="26"/>
          <w:szCs w:val="26"/>
        </w:rPr>
      </w:pPr>
      <w:r>
        <w:rPr>
          <w:sz w:val="26"/>
          <w:szCs w:val="26"/>
        </w:rPr>
        <w:t>- порыв на тепловой сети;</w:t>
      </w:r>
    </w:p>
    <w:p>
      <w:pPr>
        <w:pStyle w:val="ListParagraph"/>
        <w:rPr>
          <w:sz w:val="26"/>
          <w:szCs w:val="26"/>
        </w:rPr>
      </w:pPr>
      <w:r>
        <w:rPr>
          <w:sz w:val="26"/>
          <w:szCs w:val="26"/>
        </w:rPr>
        <w:t>- аварийная остановка котлов;</w:t>
      </w:r>
    </w:p>
    <w:p>
      <w:pPr>
        <w:pStyle w:val="ListParagraph"/>
        <w:rPr>
          <w:sz w:val="26"/>
          <w:szCs w:val="26"/>
        </w:rPr>
      </w:pPr>
      <w:r>
        <w:rPr>
          <w:sz w:val="26"/>
          <w:szCs w:val="26"/>
        </w:rPr>
        <w:t>- выход из строя насосов сетевой группы;</w:t>
      </w:r>
    </w:p>
    <w:p>
      <w:pPr>
        <w:pStyle w:val="ListParagraph"/>
        <w:rPr>
          <w:sz w:val="26"/>
          <w:szCs w:val="26"/>
        </w:rPr>
      </w:pPr>
      <w:r>
        <w:rPr>
          <w:sz w:val="26"/>
          <w:szCs w:val="26"/>
        </w:rPr>
        <w:t>- человеческий фактор.</w:t>
      </w:r>
    </w:p>
    <w:p>
      <w:pPr>
        <w:pStyle w:val="ListParagraph"/>
        <w:rPr>
          <w:sz w:val="26"/>
          <w:szCs w:val="26"/>
        </w:rPr>
      </w:pPr>
      <w:r>
        <w:rPr>
          <w:sz w:val="26"/>
          <w:szCs w:val="26"/>
        </w:rPr>
      </w:r>
    </w:p>
    <w:p>
      <w:pPr>
        <w:pStyle w:val="ListParagraph"/>
        <w:jc w:val="right"/>
        <w:rPr>
          <w:sz w:val="26"/>
          <w:szCs w:val="26"/>
        </w:rPr>
      </w:pPr>
      <w:r>
        <w:rPr>
          <w:sz w:val="26"/>
          <w:szCs w:val="26"/>
        </w:rPr>
        <w:t>Таблица № 28</w:t>
      </w:r>
    </w:p>
    <w:p>
      <w:pPr>
        <w:pStyle w:val="ListParagraph"/>
        <w:jc w:val="center"/>
        <w:rPr>
          <w:sz w:val="26"/>
          <w:szCs w:val="26"/>
        </w:rPr>
      </w:pPr>
      <w:r>
        <w:rPr>
          <w:b/>
          <w:bCs/>
          <w:sz w:val="26"/>
          <w:szCs w:val="26"/>
        </w:rPr>
        <w:t>«Риски возникновения аварий, масштабы и последствия»</w:t>
      </w:r>
    </w:p>
    <w:tbl>
      <w:tblPr>
        <w:tblW w:w="9789" w:type="dxa"/>
        <w:jc w:val="left"/>
        <w:tblInd w:w="-34" w:type="dxa"/>
        <w:tblLayout w:type="fixed"/>
        <w:tblCellMar>
          <w:top w:w="0" w:type="dxa"/>
          <w:left w:w="103" w:type="dxa"/>
          <w:bottom w:w="0" w:type="dxa"/>
          <w:right w:w="108" w:type="dxa"/>
        </w:tblCellMar>
        <w:tblLook w:val="04a0"/>
      </w:tblPr>
      <w:tblGrid>
        <w:gridCol w:w="2172"/>
        <w:gridCol w:w="2281"/>
        <w:gridCol w:w="3186"/>
        <w:gridCol w:w="2149"/>
      </w:tblGrid>
      <w:tr>
        <w:trPr>
          <w:trHeight w:val="439" w:hRule="atLeast"/>
        </w:trPr>
        <w:tc>
          <w:tcPr>
            <w:tcW w:w="217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Вид аварии</w:t>
            </w:r>
          </w:p>
        </w:tc>
        <w:tc>
          <w:tcPr>
            <w:tcW w:w="228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Возможная причина возникновения аварии</w:t>
            </w:r>
          </w:p>
        </w:tc>
        <w:tc>
          <w:tcPr>
            <w:tcW w:w="31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Масштаб аварии и последствия</w:t>
            </w:r>
          </w:p>
        </w:tc>
        <w:tc>
          <w:tcPr>
            <w:tcW w:w="214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Уровень реагирования</w:t>
            </w:r>
          </w:p>
        </w:tc>
      </w:tr>
      <w:tr>
        <w:trPr>
          <w:trHeight w:val="110" w:hRule="atLeast"/>
        </w:trPr>
        <w:tc>
          <w:tcPr>
            <w:tcW w:w="217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1</w:t>
            </w:r>
          </w:p>
        </w:tc>
        <w:tc>
          <w:tcPr>
            <w:tcW w:w="228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2</w:t>
            </w:r>
          </w:p>
        </w:tc>
        <w:tc>
          <w:tcPr>
            <w:tcW w:w="31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3</w:t>
            </w:r>
          </w:p>
        </w:tc>
        <w:tc>
          <w:tcPr>
            <w:tcW w:w="214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4</w:t>
            </w:r>
          </w:p>
        </w:tc>
      </w:tr>
      <w:tr>
        <w:trPr>
          <w:trHeight w:val="1324" w:hRule="atLeast"/>
        </w:trPr>
        <w:tc>
          <w:tcPr>
            <w:tcW w:w="217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Остановка котельной</w:t>
            </w:r>
          </w:p>
        </w:tc>
        <w:tc>
          <w:tcPr>
            <w:tcW w:w="228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Выход из строя насосов сетевой группы</w:t>
            </w:r>
          </w:p>
        </w:tc>
        <w:tc>
          <w:tcPr>
            <w:tcW w:w="31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Прекращение циркуляции воды в системах отопления всех потребителей, понижение напора и температуры в зданиях и жилых домах, размораживание тепловых сетей и систем отопления зданий.</w:t>
            </w:r>
          </w:p>
        </w:tc>
        <w:tc>
          <w:tcPr>
            <w:tcW w:w="214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Муниципальный, локальный</w:t>
            </w:r>
          </w:p>
        </w:tc>
      </w:tr>
      <w:tr>
        <w:trPr>
          <w:trHeight w:val="1317" w:hRule="atLeast"/>
        </w:trPr>
        <w:tc>
          <w:tcPr>
            <w:tcW w:w="217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Кратковременное нарушение теплоснабжения объектов жилищно-коммунального хозяйства, социальной сферы и ж/домов</w:t>
            </w:r>
          </w:p>
        </w:tc>
        <w:tc>
          <w:tcPr>
            <w:tcW w:w="228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Порыв на тепловых сетях, аварийная остановка котлов, человеческий фактор.</w:t>
            </w:r>
          </w:p>
        </w:tc>
        <w:tc>
          <w:tcPr>
            <w:tcW w:w="31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Прекращение циркуляции воды в системах отопления всех потребителей, понижение напора и температуры в зданиях и жилых домах, размораживание тепловых сетей и систем отопления зданий.</w:t>
            </w:r>
          </w:p>
        </w:tc>
        <w:tc>
          <w:tcPr>
            <w:tcW w:w="214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Локальный</w:t>
            </w:r>
          </w:p>
        </w:tc>
      </w:tr>
    </w:tbl>
    <w:p>
      <w:pPr>
        <w:pStyle w:val="ListParagraph"/>
        <w:rPr>
          <w:sz w:val="26"/>
          <w:szCs w:val="26"/>
        </w:rPr>
      </w:pPr>
      <w:r>
        <w:rPr>
          <w:sz w:val="26"/>
          <w:szCs w:val="26"/>
        </w:rPr>
      </w:r>
    </w:p>
    <w:p>
      <w:pPr>
        <w:pStyle w:val="ListParagraph"/>
        <w:rPr>
          <w:sz w:val="26"/>
          <w:szCs w:val="26"/>
        </w:rPr>
      </w:pPr>
      <w:r>
        <w:rPr>
          <w:sz w:val="26"/>
          <w:szCs w:val="26"/>
        </w:rPr>
      </w:r>
    </w:p>
    <w:p>
      <w:pPr>
        <w:pStyle w:val="ListParagraph"/>
        <w:rPr>
          <w:sz w:val="26"/>
          <w:szCs w:val="26"/>
        </w:rPr>
      </w:pPr>
      <w:r>
        <w:rPr>
          <w:sz w:val="26"/>
          <w:szCs w:val="26"/>
        </w:rPr>
      </w:r>
    </w:p>
    <w:p>
      <w:pPr>
        <w:pStyle w:val="ListParagraph"/>
        <w:numPr>
          <w:ilvl w:val="0"/>
          <w:numId w:val="1"/>
        </w:numPr>
        <w:rPr>
          <w:sz w:val="26"/>
          <w:szCs w:val="26"/>
        </w:rPr>
      </w:pPr>
      <w:r>
        <w:rPr>
          <w:sz w:val="26"/>
          <w:szCs w:val="26"/>
        </w:rPr>
        <w:t>Сценарий развития аварий в системах теплоснабжения с моделированием гидравлических режимов работы систем.</w:t>
      </w:r>
    </w:p>
    <w:p>
      <w:pPr>
        <w:pStyle w:val="ListParagraph"/>
        <w:ind w:left="720" w:hanging="862"/>
        <w:jc w:val="right"/>
        <w:rPr>
          <w:sz w:val="26"/>
          <w:szCs w:val="26"/>
        </w:rPr>
      </w:pPr>
      <w:r>
        <w:rPr>
          <w:sz w:val="26"/>
          <w:szCs w:val="26"/>
        </w:rPr>
      </w:r>
    </w:p>
    <w:p>
      <w:pPr>
        <w:pStyle w:val="ListParagraph"/>
        <w:ind w:left="720" w:hanging="862"/>
        <w:jc w:val="right"/>
        <w:rPr/>
      </w:pPr>
      <w:r>
        <w:rPr>
          <w:sz w:val="26"/>
          <w:szCs w:val="26"/>
        </w:rPr>
        <w:t>Таблица № 29</w:t>
      </w:r>
    </w:p>
    <w:p>
      <w:pPr>
        <w:pStyle w:val="ListParagraph"/>
        <w:ind w:left="720" w:hanging="862"/>
        <w:jc w:val="center"/>
        <w:rPr>
          <w:sz w:val="26"/>
          <w:szCs w:val="26"/>
        </w:rPr>
      </w:pPr>
      <w:r>
        <w:rPr>
          <w:b/>
          <w:bCs/>
          <w:sz w:val="26"/>
          <w:szCs w:val="26"/>
        </w:rPr>
        <w:t>«Оперативный план действий при выходе из строя насосов сетевой группы котельной, переход в «летний» режим работы».</w:t>
      </w:r>
    </w:p>
    <w:tbl>
      <w:tblPr>
        <w:tblW w:w="10308" w:type="dxa"/>
        <w:jc w:val="left"/>
        <w:tblInd w:w="-34" w:type="dxa"/>
        <w:tblLayout w:type="fixed"/>
        <w:tblCellMar>
          <w:top w:w="0" w:type="dxa"/>
          <w:left w:w="103" w:type="dxa"/>
          <w:bottom w:w="0" w:type="dxa"/>
          <w:right w:w="108" w:type="dxa"/>
        </w:tblCellMar>
        <w:tblLook w:val="04a0"/>
      </w:tblPr>
      <w:tblGrid>
        <w:gridCol w:w="715"/>
        <w:gridCol w:w="1834"/>
        <w:gridCol w:w="1416"/>
        <w:gridCol w:w="1153"/>
        <w:gridCol w:w="1916"/>
        <w:gridCol w:w="1885"/>
        <w:gridCol w:w="1388"/>
      </w:tblGrid>
      <w:tr>
        <w:trPr>
          <w:trHeight w:val="162"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b/>
                <w:bCs/>
                <w:sz w:val="26"/>
                <w:szCs w:val="26"/>
              </w:rPr>
              <w:t>№</w:t>
            </w:r>
            <w:r>
              <w:rPr>
                <w:b/>
                <w:bCs/>
                <w:sz w:val="26"/>
                <w:szCs w:val="26"/>
              </w:rPr>
              <w:t>п/п</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b/>
                <w:bCs/>
                <w:sz w:val="26"/>
                <w:szCs w:val="26"/>
              </w:rPr>
              <w:t>Порядок действия</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b/>
                <w:bCs/>
                <w:sz w:val="26"/>
                <w:szCs w:val="26"/>
              </w:rPr>
              <w:t>Место</w:t>
            </w:r>
          </w:p>
        </w:tc>
        <w:tc>
          <w:tcPr>
            <w:tcW w:w="115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b/>
                <w:bCs/>
                <w:sz w:val="26"/>
                <w:szCs w:val="26"/>
              </w:rPr>
              <w:t>Время выполнения</w:t>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b/>
                <w:bCs/>
                <w:sz w:val="26"/>
                <w:szCs w:val="26"/>
              </w:rPr>
              <w:t>Ответствен. исполнитель</w:t>
            </w:r>
          </w:p>
        </w:tc>
        <w:tc>
          <w:tcPr>
            <w:tcW w:w="18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b/>
                <w:bCs/>
                <w:sz w:val="26"/>
                <w:szCs w:val="26"/>
              </w:rPr>
              <w:t>Ответствен. руководитель</w:t>
            </w:r>
          </w:p>
        </w:tc>
        <w:tc>
          <w:tcPr>
            <w:tcW w:w="138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b/>
                <w:bCs/>
                <w:sz w:val="26"/>
                <w:szCs w:val="26"/>
              </w:rPr>
              <w:t>Примечание</w:t>
            </w:r>
          </w:p>
        </w:tc>
      </w:tr>
      <w:tr>
        <w:trPr>
          <w:trHeight w:val="601"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Доклад директору предприятия , получение распоряжения на переход в «Летний» режим.  Доклад диспетчеру ЕДДС</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котельная</w:t>
            </w:r>
          </w:p>
        </w:tc>
        <w:tc>
          <w:tcPr>
            <w:tcW w:w="115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2 мин.</w:t>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Директор, заместитель директора, диспетчер ЕДДС, мастер производственного участка</w:t>
            </w:r>
          </w:p>
        </w:tc>
        <w:tc>
          <w:tcPr>
            <w:tcW w:w="18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Заместитель директора по производственным вопросам.</w:t>
            </w:r>
          </w:p>
        </w:tc>
        <w:tc>
          <w:tcPr>
            <w:tcW w:w="138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rPr>
                <w:sz w:val="26"/>
                <w:szCs w:val="26"/>
              </w:rPr>
            </w:pPr>
            <w:r>
              <w:rPr>
                <w:sz w:val="26"/>
                <w:szCs w:val="26"/>
              </w:rPr>
            </w:r>
          </w:p>
        </w:tc>
      </w:tr>
      <w:tr>
        <w:trPr>
          <w:trHeight w:val="273"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2</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Вызов дежурного слесаря, сварщика, электрика</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котельная</w:t>
            </w:r>
          </w:p>
        </w:tc>
        <w:tc>
          <w:tcPr>
            <w:tcW w:w="115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3 мин.</w:t>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w:t>
            </w:r>
          </w:p>
        </w:tc>
        <w:tc>
          <w:tcPr>
            <w:tcW w:w="18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Заместитель директора по производственным вопросам.</w:t>
            </w:r>
          </w:p>
        </w:tc>
        <w:tc>
          <w:tcPr>
            <w:tcW w:w="138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rPr>
                <w:sz w:val="26"/>
                <w:szCs w:val="26"/>
              </w:rPr>
            </w:pPr>
            <w:r>
              <w:rPr>
                <w:sz w:val="26"/>
                <w:szCs w:val="26"/>
              </w:rPr>
            </w:r>
          </w:p>
        </w:tc>
      </w:tr>
      <w:tr>
        <w:trPr>
          <w:trHeight w:val="273"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3</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Остановить насосы</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котельная</w:t>
            </w:r>
          </w:p>
        </w:tc>
        <w:tc>
          <w:tcPr>
            <w:tcW w:w="115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5 мин.</w:t>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Мастер производственного участка, слесарь-ремонтник</w:t>
            </w:r>
          </w:p>
        </w:tc>
        <w:tc>
          <w:tcPr>
            <w:tcW w:w="18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rPr>
                <w:sz w:val="26"/>
                <w:szCs w:val="26"/>
              </w:rPr>
            </w:pPr>
            <w:r>
              <w:rPr>
                <w:sz w:val="26"/>
                <w:szCs w:val="26"/>
              </w:rPr>
            </w:r>
          </w:p>
        </w:tc>
        <w:tc>
          <w:tcPr>
            <w:tcW w:w="138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rPr>
                <w:sz w:val="26"/>
                <w:szCs w:val="26"/>
              </w:rPr>
            </w:pPr>
            <w:r>
              <w:rPr>
                <w:sz w:val="26"/>
                <w:szCs w:val="26"/>
              </w:rPr>
            </w:r>
          </w:p>
        </w:tc>
      </w:tr>
      <w:tr>
        <w:trPr>
          <w:trHeight w:val="439"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4</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Закрыть сначала входную, а затем выходную задвижки на работавших котлах КВр.</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котельная</w:t>
            </w:r>
          </w:p>
        </w:tc>
        <w:tc>
          <w:tcPr>
            <w:tcW w:w="115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10 мин.</w:t>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слесарь-ремонтник</w:t>
            </w:r>
          </w:p>
        </w:tc>
        <w:tc>
          <w:tcPr>
            <w:tcW w:w="18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Заместитель директора по производственным вопросам.</w:t>
            </w:r>
          </w:p>
        </w:tc>
        <w:tc>
          <w:tcPr>
            <w:tcW w:w="138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rPr>
                <w:sz w:val="26"/>
                <w:szCs w:val="26"/>
              </w:rPr>
            </w:pPr>
            <w:r>
              <w:rPr>
                <w:sz w:val="26"/>
                <w:szCs w:val="26"/>
              </w:rPr>
            </w:r>
          </w:p>
        </w:tc>
      </w:tr>
      <w:tr>
        <w:trPr>
          <w:trHeight w:val="52"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5</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Закрыть задвижки на подающем и обратном трубопроводе тепловой сети  котельной</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котельная</w:t>
            </w:r>
          </w:p>
        </w:tc>
        <w:tc>
          <w:tcPr>
            <w:tcW w:w="115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10 мин.</w:t>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слесарь-ремонтник</w:t>
            </w:r>
          </w:p>
        </w:tc>
        <w:tc>
          <w:tcPr>
            <w:tcW w:w="18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rPr>
                <w:sz w:val="26"/>
                <w:szCs w:val="26"/>
              </w:rPr>
            </w:pPr>
            <w:r>
              <w:rPr>
                <w:sz w:val="26"/>
                <w:szCs w:val="26"/>
              </w:rPr>
            </w:r>
          </w:p>
        </w:tc>
        <w:tc>
          <w:tcPr>
            <w:tcW w:w="138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rPr>
                <w:sz w:val="26"/>
                <w:szCs w:val="26"/>
              </w:rPr>
            </w:pPr>
            <w:r>
              <w:rPr>
                <w:sz w:val="26"/>
                <w:szCs w:val="26"/>
              </w:rPr>
            </w:r>
          </w:p>
        </w:tc>
      </w:tr>
      <w:tr>
        <w:trPr>
          <w:trHeight w:val="55"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6</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Произвести замену насоса</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котельная</w:t>
            </w:r>
          </w:p>
        </w:tc>
        <w:tc>
          <w:tcPr>
            <w:tcW w:w="115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40 мин.</w:t>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слесарь-ремонтник</w:t>
            </w:r>
          </w:p>
        </w:tc>
        <w:tc>
          <w:tcPr>
            <w:tcW w:w="18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Заместитель директора по производственным вопросам.</w:t>
            </w:r>
          </w:p>
        </w:tc>
        <w:tc>
          <w:tcPr>
            <w:tcW w:w="138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rPr>
                <w:sz w:val="26"/>
                <w:szCs w:val="26"/>
              </w:rPr>
            </w:pPr>
            <w:r>
              <w:rPr>
                <w:sz w:val="26"/>
                <w:szCs w:val="26"/>
              </w:rPr>
            </w:r>
          </w:p>
        </w:tc>
      </w:tr>
      <w:tr>
        <w:trPr>
          <w:trHeight w:val="52"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7</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Запустить сетевой насос согласно производственной инструкции</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котельная</w:t>
            </w:r>
          </w:p>
        </w:tc>
        <w:tc>
          <w:tcPr>
            <w:tcW w:w="115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15 мин</w:t>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слесарь-ремонтник, электрик</w:t>
            </w:r>
          </w:p>
        </w:tc>
        <w:tc>
          <w:tcPr>
            <w:tcW w:w="18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Заместитель директора по производственным вопросам.</w:t>
            </w:r>
          </w:p>
        </w:tc>
        <w:tc>
          <w:tcPr>
            <w:tcW w:w="138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rPr>
                <w:sz w:val="26"/>
                <w:szCs w:val="26"/>
              </w:rPr>
            </w:pPr>
            <w:r>
              <w:rPr>
                <w:sz w:val="26"/>
                <w:szCs w:val="26"/>
              </w:rPr>
            </w:r>
          </w:p>
        </w:tc>
      </w:tr>
      <w:tr>
        <w:trPr>
          <w:trHeight w:val="52"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8</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Плавно нагружая сначала подпиточный насос , затем сетевой насос довести параметры давления в теплосети до рабочего состояния на подающем и обратном трубопроводе в соответствии с инструкцией  Р1-3,5 кгс/см2; Р2-2,0 кгс/см2</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котельная</w:t>
            </w:r>
          </w:p>
        </w:tc>
        <w:tc>
          <w:tcPr>
            <w:tcW w:w="115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10 мин</w:t>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слесарь-ремонтник, электрик</w:t>
            </w:r>
          </w:p>
        </w:tc>
        <w:tc>
          <w:tcPr>
            <w:tcW w:w="18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Заместитель директора по производственным вопросам.</w:t>
            </w:r>
          </w:p>
        </w:tc>
        <w:tc>
          <w:tcPr>
            <w:tcW w:w="138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rPr>
                <w:sz w:val="26"/>
                <w:szCs w:val="26"/>
              </w:rPr>
            </w:pPr>
            <w:r>
              <w:rPr>
                <w:sz w:val="26"/>
                <w:szCs w:val="26"/>
              </w:rPr>
            </w:r>
          </w:p>
        </w:tc>
      </w:tr>
      <w:tr>
        <w:trPr>
          <w:trHeight w:val="52"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9</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Произвести плавный пуск котла в работу согласно режимной карте</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котельная</w:t>
            </w:r>
          </w:p>
        </w:tc>
        <w:tc>
          <w:tcPr>
            <w:tcW w:w="115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10 мин</w:t>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слесарь-ремонтник, электрик</w:t>
            </w:r>
          </w:p>
        </w:tc>
        <w:tc>
          <w:tcPr>
            <w:tcW w:w="18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Заместитель директора по производственным вопросам.</w:t>
            </w:r>
          </w:p>
        </w:tc>
        <w:tc>
          <w:tcPr>
            <w:tcW w:w="138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rPr>
                <w:sz w:val="26"/>
                <w:szCs w:val="26"/>
              </w:rPr>
            </w:pPr>
            <w:r>
              <w:rPr>
                <w:sz w:val="26"/>
                <w:szCs w:val="26"/>
              </w:rPr>
            </w:r>
          </w:p>
        </w:tc>
      </w:tr>
      <w:tr>
        <w:trPr>
          <w:trHeight w:val="52"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b/>
                <w:bCs/>
                <w:sz w:val="26"/>
                <w:szCs w:val="26"/>
              </w:rPr>
              <w:t>10</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b/>
                <w:bCs/>
                <w:sz w:val="26"/>
                <w:szCs w:val="26"/>
              </w:rPr>
              <w:t xml:space="preserve">Итого </w:t>
            </w:r>
            <w:r>
              <w:rPr>
                <w:bCs/>
                <w:sz w:val="26"/>
                <w:szCs w:val="26"/>
              </w:rPr>
              <w:t>время перехода на летний режим работы</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bCs/>
                <w:sz w:val="26"/>
                <w:szCs w:val="26"/>
              </w:rPr>
              <w:t>котельная</w:t>
            </w:r>
          </w:p>
        </w:tc>
        <w:tc>
          <w:tcPr>
            <w:tcW w:w="115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b/>
                <w:bCs/>
                <w:sz w:val="26"/>
                <w:szCs w:val="26"/>
              </w:rPr>
              <w:t>105 минут</w:t>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rPr>
                <w:b/>
                <w:b/>
                <w:bCs/>
                <w:sz w:val="26"/>
                <w:szCs w:val="26"/>
              </w:rPr>
            </w:pPr>
            <w:r>
              <w:rPr>
                <w:b/>
                <w:bCs/>
                <w:sz w:val="26"/>
                <w:szCs w:val="26"/>
              </w:rPr>
            </w:r>
          </w:p>
        </w:tc>
        <w:tc>
          <w:tcPr>
            <w:tcW w:w="18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rPr>
                <w:b/>
                <w:b/>
                <w:bCs/>
                <w:sz w:val="26"/>
                <w:szCs w:val="26"/>
              </w:rPr>
            </w:pPr>
            <w:r>
              <w:rPr>
                <w:b/>
                <w:bCs/>
                <w:sz w:val="26"/>
                <w:szCs w:val="26"/>
              </w:rPr>
            </w:r>
          </w:p>
        </w:tc>
        <w:tc>
          <w:tcPr>
            <w:tcW w:w="138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rPr>
                <w:b/>
                <w:b/>
                <w:bCs/>
                <w:sz w:val="26"/>
                <w:szCs w:val="26"/>
              </w:rPr>
            </w:pPr>
            <w:r>
              <w:rPr>
                <w:b/>
                <w:bCs/>
                <w:sz w:val="26"/>
                <w:szCs w:val="26"/>
              </w:rPr>
            </w:r>
          </w:p>
        </w:tc>
      </w:tr>
    </w:tbl>
    <w:p>
      <w:pPr>
        <w:pStyle w:val="ListParagraph"/>
        <w:ind w:left="0" w:firstLine="567"/>
        <w:jc w:val="both"/>
        <w:rPr>
          <w:sz w:val="26"/>
          <w:szCs w:val="26"/>
        </w:rPr>
      </w:pPr>
      <w:r>
        <w:rPr>
          <w:sz w:val="26"/>
          <w:szCs w:val="26"/>
        </w:rPr>
        <w:t>При переходе в «летний режим» работы тепловой энергией (теплоносителем) обеспечиваются только социально значимые объекты на нужды отопления, с целью поддержания температуры в зданиях, обеспечения циркуляции теплоносителя в теплотрассах и предотвращения их размораживания.</w:t>
      </w:r>
    </w:p>
    <w:p>
      <w:pPr>
        <w:pStyle w:val="ListParagraph"/>
        <w:ind w:left="0" w:firstLine="567"/>
        <w:jc w:val="both"/>
        <w:rPr>
          <w:sz w:val="26"/>
          <w:szCs w:val="26"/>
        </w:rPr>
      </w:pPr>
      <w:r>
        <w:rPr>
          <w:sz w:val="26"/>
          <w:szCs w:val="26"/>
        </w:rPr>
        <w:t>Прекращается подача теплоносителя на отопление и горячее водоснабжение в жилом фонде. Жилые дома  отключаются от системы теплоснабжения, теплоноситель сливается из системы,  открываются перемычки в тепловых узлах (элеваторных, узлах управления). Гидравлический режим изменяется. Давление теплоносителя в подающем трубопроводе 3,5 кгс/см2 в обратном трубопроводе 2,0 кгс/см2. В зимний период в зависимости от температуры наружного воздуха максимальная температура в прямой сети 40 С, в обратной сети 15-20 С.</w:t>
      </w:r>
    </w:p>
    <w:p>
      <w:pPr>
        <w:pStyle w:val="ListParagraph"/>
        <w:ind w:left="0" w:firstLine="567"/>
        <w:jc w:val="right"/>
        <w:rPr>
          <w:sz w:val="26"/>
          <w:szCs w:val="26"/>
        </w:rPr>
      </w:pPr>
      <w:r>
        <w:rPr>
          <w:sz w:val="26"/>
          <w:szCs w:val="26"/>
        </w:rPr>
      </w:r>
    </w:p>
    <w:p>
      <w:pPr>
        <w:pStyle w:val="ListParagraph"/>
        <w:ind w:left="0" w:firstLine="567"/>
        <w:jc w:val="right"/>
        <w:rPr>
          <w:sz w:val="26"/>
          <w:szCs w:val="26"/>
        </w:rPr>
      </w:pPr>
      <w:r>
        <w:rPr>
          <w:sz w:val="26"/>
          <w:szCs w:val="26"/>
        </w:rPr>
        <w:t>Таблица № 30</w:t>
      </w:r>
    </w:p>
    <w:p>
      <w:pPr>
        <w:pStyle w:val="ListParagraph"/>
        <w:ind w:left="0" w:firstLine="567"/>
        <w:jc w:val="center"/>
        <w:rPr>
          <w:sz w:val="26"/>
          <w:szCs w:val="26"/>
        </w:rPr>
      </w:pPr>
      <w:r>
        <w:rPr>
          <w:b/>
          <w:bCs/>
          <w:sz w:val="26"/>
          <w:szCs w:val="26"/>
        </w:rPr>
        <w:t>«Оперативный план действий при технологическом нарушении (аварии, повреждении) на магистральных теплотрассах</w:t>
      </w:r>
    </w:p>
    <w:tbl>
      <w:tblPr>
        <w:tblW w:w="9344" w:type="dxa"/>
        <w:jc w:val="left"/>
        <w:tblInd w:w="113" w:type="dxa"/>
        <w:tblLayout w:type="fixed"/>
        <w:tblCellMar>
          <w:top w:w="0" w:type="dxa"/>
          <w:left w:w="103" w:type="dxa"/>
          <w:bottom w:w="0" w:type="dxa"/>
          <w:right w:w="108" w:type="dxa"/>
        </w:tblCellMar>
        <w:tblLook w:val="04a0"/>
      </w:tblPr>
      <w:tblGrid>
        <w:gridCol w:w="841"/>
        <w:gridCol w:w="3860"/>
        <w:gridCol w:w="2292"/>
        <w:gridCol w:w="2350"/>
      </w:tblGrid>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w:t>
            </w:r>
            <w:r>
              <w:rPr>
                <w:b/>
                <w:bCs/>
                <w:sz w:val="26"/>
                <w:szCs w:val="26"/>
              </w:rPr>
              <w:t>п/п</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Порядок действий</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jc w:val="center"/>
              <w:rPr>
                <w:sz w:val="26"/>
                <w:szCs w:val="26"/>
              </w:rPr>
            </w:pPr>
            <w:r>
              <w:rPr>
                <w:b/>
                <w:bCs/>
                <w:sz w:val="26"/>
                <w:szCs w:val="26"/>
              </w:rPr>
              <w:t>Время выполнения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b/>
                <w:bCs/>
                <w:sz w:val="26"/>
                <w:szCs w:val="26"/>
              </w:rPr>
              <w:t>Ответственный</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1</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2</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3</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4</w:t>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2"/>
              </w:numPr>
              <w:spacing w:before="0" w:after="0"/>
              <w:contextualSpacing/>
              <w:rPr>
                <w:sz w:val="26"/>
                <w:szCs w:val="26"/>
              </w:rPr>
            </w:pPr>
            <w:r>
              <w:rPr>
                <w:sz w:val="26"/>
                <w:szCs w:val="26"/>
              </w:rPr>
              <w:t>Действия при получении информации о произошедшей аварии</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Регистрация аварийной заявки</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2</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Доклад директору (заместителю директора) предприятия</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3</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Выезд к месту аварии, оценка ситуации</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15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4</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Выезд к месту аварии, осмотр места аварии, принятие решения о составе сил и средств, необходимых для устранения аварии и о необходимости привлечения дополнительных средств, доклад директору предприятия.</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60-90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Зам. директора по производственным вопросам.</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5</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Сообщение диспетчеру ЕДДС о характере аварийной ситуации, о составе сил и средств, привлекаемых к устранению аварии, о необходимости в привлечении дополнительных сил и средств, о времени, необходимом для устранения аварии.</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2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Директор (зам. директора)</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6</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Вызов, в случае необходимости, дополнительных сил и средств для ликвидации аварийной ситуации. В зависимости от сложности ситуации оповещает администрацию района</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10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ЕДДС</w:t>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2.Действия по локализации и ликвидации аварии</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7</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Выезд ремонтной бригады на место аварии</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1-3 часа</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8</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Прибытие на место аварии, краткий инструктаж бригады по порядку выполнения работ на месте аварии</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5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9</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Прибытие привлекаемых сил и средств к месту аварии</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1-3 часа</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Назначенный представитель</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10</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Контроль прибытия сил и средств, ход проведения работ</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постоянно</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Зам. директора по производственным вопросам.</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11</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Оповещение дежурной смены о перекрытии задвижек на магистральной теплотрассе и начале устранения аварии</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12</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Проведение аварийных работ:</w:t>
            </w:r>
          </w:p>
          <w:p>
            <w:pPr>
              <w:pStyle w:val="ListParagraph"/>
              <w:widowControl w:val="false"/>
              <w:spacing w:before="0" w:after="0"/>
              <w:ind w:left="0" w:firstLine="709"/>
              <w:contextualSpacing/>
              <w:rPr>
                <w:sz w:val="26"/>
                <w:szCs w:val="26"/>
              </w:rPr>
            </w:pPr>
            <w:r>
              <w:rPr>
                <w:sz w:val="26"/>
                <w:szCs w:val="26"/>
              </w:rPr>
              <w:t>- перекрытие задвижек на магистральном трубопроводе;</w:t>
            </w:r>
          </w:p>
          <w:p>
            <w:pPr>
              <w:pStyle w:val="ListParagraph"/>
              <w:widowControl w:val="false"/>
              <w:spacing w:before="0" w:after="0"/>
              <w:ind w:left="0" w:firstLine="709"/>
              <w:contextualSpacing/>
              <w:rPr>
                <w:sz w:val="26"/>
                <w:szCs w:val="26"/>
              </w:rPr>
            </w:pPr>
            <w:r>
              <w:rPr>
                <w:sz w:val="26"/>
                <w:szCs w:val="26"/>
              </w:rPr>
              <w:t>- слив теплоносителя;</w:t>
            </w:r>
          </w:p>
          <w:p>
            <w:pPr>
              <w:pStyle w:val="ListParagraph"/>
              <w:widowControl w:val="false"/>
              <w:spacing w:before="0" w:after="0"/>
              <w:ind w:left="0" w:firstLine="709"/>
              <w:contextualSpacing/>
              <w:rPr>
                <w:sz w:val="26"/>
                <w:szCs w:val="26"/>
              </w:rPr>
            </w:pPr>
            <w:r>
              <w:rPr>
                <w:sz w:val="26"/>
                <w:szCs w:val="26"/>
              </w:rPr>
              <w:t>- сварочные работы;</w:t>
            </w:r>
          </w:p>
          <w:p>
            <w:pPr>
              <w:pStyle w:val="ListParagraph"/>
              <w:widowControl w:val="false"/>
              <w:spacing w:before="0" w:after="0"/>
              <w:ind w:left="0" w:firstLine="709"/>
              <w:contextualSpacing/>
              <w:rPr>
                <w:sz w:val="26"/>
                <w:szCs w:val="26"/>
              </w:rPr>
            </w:pPr>
            <w:r>
              <w:rPr>
                <w:sz w:val="26"/>
                <w:szCs w:val="26"/>
              </w:rPr>
              <w:t>- работы по замене аварийного участка;</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4-8 часов</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13</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По распоряжению заместителя директора при отрицательных температурах наружного воздуха оповещает отключенных абонентов (потребителей тепловой энергии) об аварии, о времени отключения теплоснабжения и ориентировочных сроках ее устранения</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30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Специалист по работе с абонентами</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14</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В зимнее время формирует аварийные бригады, организует проведение работ в 2 смены, обогрев во время отдыха неработающей смены, подвоз горячего чая. С целью недопущения обморожения обеспечивает личный состав зимней рабочей одеждой, валенками и рукавицами</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60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15</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По завершению аварийных работ, дает распоряжение на открытие магистральных задвижек и задвижек на ответвлениях от магистральной сети. О возобновлении теплоснабжения докладывает директору (заместителю директора).</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5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16</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Оповещает о возобновлении теплоснабжения дежурную смену, диспетчера ЕДДС</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5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Директор (зам. директора)</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17</w:t>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Итого общее время проведения работ</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10 часов</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rPr>
                <w:sz w:val="26"/>
                <w:szCs w:val="26"/>
              </w:rPr>
            </w:pPr>
            <w:r>
              <w:rPr>
                <w:sz w:val="26"/>
                <w:szCs w:val="26"/>
              </w:rPr>
            </w:r>
          </w:p>
        </w:tc>
      </w:tr>
    </w:tbl>
    <w:p>
      <w:pPr>
        <w:pStyle w:val="ListParagraph"/>
        <w:ind w:left="0" w:firstLine="567"/>
        <w:jc w:val="both"/>
        <w:rPr>
          <w:sz w:val="26"/>
          <w:szCs w:val="26"/>
        </w:rPr>
      </w:pPr>
      <w:r>
        <w:rPr>
          <w:sz w:val="26"/>
          <w:szCs w:val="26"/>
        </w:rPr>
        <w:t>В зависимости от сложности аварийной ситуации диспетчер ЕДДС оповещает об аварии Главу района, заместителя Главы администрации района.</w:t>
      </w:r>
    </w:p>
    <w:p>
      <w:pPr>
        <w:pStyle w:val="ListParagraph"/>
        <w:ind w:left="0" w:firstLine="567"/>
        <w:jc w:val="both"/>
        <w:rPr>
          <w:sz w:val="26"/>
          <w:szCs w:val="26"/>
        </w:rPr>
      </w:pPr>
      <w:r>
        <w:rPr>
          <w:sz w:val="26"/>
          <w:szCs w:val="26"/>
        </w:rPr>
        <w:t>Глава района при необходимости принимает решение о переводе муниципального звена районной подсистемы РС ЧС в режим повышенной готовности.</w:t>
      </w:r>
    </w:p>
    <w:p>
      <w:pPr>
        <w:pStyle w:val="ListParagraph"/>
        <w:ind w:left="0" w:firstLine="567"/>
        <w:jc w:val="both"/>
        <w:rPr>
          <w:sz w:val="26"/>
          <w:szCs w:val="26"/>
        </w:rPr>
      </w:pPr>
      <w:r>
        <w:rPr>
          <w:sz w:val="26"/>
          <w:szCs w:val="26"/>
        </w:rPr>
        <w:t>Ресурсоснабжающая организация оповещает население путем размещения информации на подъездах.</w:t>
      </w:r>
    </w:p>
    <w:p>
      <w:pPr>
        <w:pStyle w:val="ListParagraph"/>
        <w:ind w:left="0" w:firstLine="567"/>
        <w:jc w:val="both"/>
        <w:rPr>
          <w:sz w:val="26"/>
          <w:szCs w:val="26"/>
        </w:rPr>
      </w:pPr>
      <w:r>
        <w:rPr>
          <w:sz w:val="26"/>
          <w:szCs w:val="26"/>
        </w:rPr>
      </w:r>
    </w:p>
    <w:p>
      <w:pPr>
        <w:pStyle w:val="ListParagraph"/>
        <w:ind w:left="0" w:firstLine="567"/>
        <w:jc w:val="both"/>
        <w:rPr>
          <w:sz w:val="26"/>
          <w:szCs w:val="26"/>
        </w:rPr>
      </w:pPr>
      <w:r>
        <w:rPr>
          <w:sz w:val="26"/>
          <w:szCs w:val="26"/>
        </w:rPr>
      </w:r>
    </w:p>
    <w:p>
      <w:pPr>
        <w:pStyle w:val="ListParagraph"/>
        <w:ind w:left="0" w:firstLine="567"/>
        <w:jc w:val="right"/>
        <w:rPr>
          <w:sz w:val="26"/>
          <w:szCs w:val="26"/>
        </w:rPr>
      </w:pPr>
      <w:r>
        <w:rPr>
          <w:sz w:val="26"/>
          <w:szCs w:val="26"/>
        </w:rPr>
        <w:t>Таблица № 31</w:t>
      </w:r>
    </w:p>
    <w:p>
      <w:pPr>
        <w:pStyle w:val="ListParagraph"/>
        <w:ind w:left="0" w:firstLine="567"/>
        <w:jc w:val="center"/>
        <w:rPr>
          <w:sz w:val="26"/>
          <w:szCs w:val="26"/>
        </w:rPr>
      </w:pPr>
      <w:r>
        <w:rPr>
          <w:b/>
          <w:bCs/>
          <w:sz w:val="26"/>
          <w:szCs w:val="26"/>
        </w:rPr>
        <w:t>«План действий при технологическом нарушении (аварии, повреждений) на магистральных теплотрассах эксплуатирующей организацией»</w:t>
      </w:r>
    </w:p>
    <w:p>
      <w:pPr>
        <w:pStyle w:val="ListParagraph"/>
        <w:ind w:left="0" w:firstLine="567"/>
        <w:jc w:val="center"/>
        <w:rPr>
          <w:sz w:val="26"/>
          <w:szCs w:val="26"/>
        </w:rPr>
      </w:pPr>
      <w:r>
        <w:rPr>
          <w:sz w:val="26"/>
          <w:szCs w:val="26"/>
        </w:rPr>
      </w:r>
    </w:p>
    <w:tbl>
      <w:tblPr>
        <w:tblW w:w="9344" w:type="dxa"/>
        <w:jc w:val="left"/>
        <w:tblInd w:w="113" w:type="dxa"/>
        <w:tblLayout w:type="fixed"/>
        <w:tblCellMar>
          <w:top w:w="0" w:type="dxa"/>
          <w:left w:w="103" w:type="dxa"/>
          <w:bottom w:w="0" w:type="dxa"/>
          <w:right w:w="108" w:type="dxa"/>
        </w:tblCellMar>
        <w:tblLook w:val="04a0"/>
      </w:tblPr>
      <w:tblGrid>
        <w:gridCol w:w="841"/>
        <w:gridCol w:w="4460"/>
        <w:gridCol w:w="2350"/>
        <w:gridCol w:w="1692"/>
      </w:tblGrid>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w:t>
            </w:r>
            <w:r>
              <w:rPr>
                <w:b/>
                <w:bCs/>
                <w:sz w:val="26"/>
                <w:szCs w:val="26"/>
              </w:rPr>
              <w:t>п/п</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Порядок действий</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b/>
                <w:bCs/>
                <w:sz w:val="26"/>
                <w:szCs w:val="26"/>
              </w:rPr>
              <w:t>Ответственный</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b/>
                <w:bCs/>
                <w:sz w:val="26"/>
                <w:szCs w:val="26"/>
              </w:rPr>
              <w:t>Примечание</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1</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2</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3</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4</w:t>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3"/>
              </w:numPr>
              <w:spacing w:before="0" w:after="0"/>
              <w:contextualSpacing/>
              <w:jc w:val="center"/>
              <w:rPr>
                <w:sz w:val="26"/>
                <w:szCs w:val="26"/>
              </w:rPr>
            </w:pPr>
            <w:r>
              <w:rPr>
                <w:b/>
                <w:bCs/>
                <w:sz w:val="26"/>
                <w:szCs w:val="26"/>
              </w:rPr>
              <w:t>Действия при замене участка трубы, надземная магистраль</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1</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Отключение теплоснабжения – перекрытие задвижек на магистральном трубопроводе и задвижек на ответвлениях от магистрали.</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2</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Снятие заглушек спускников, слив теплоносителя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rHeight w:val="647" w:hRule="atLeast"/>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3</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Демонтаж изоляции поврежденного участка</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4</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Подготовка трубы – резка трубы</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сварщик</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5</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sz w:val="26"/>
                <w:szCs w:val="26"/>
              </w:rPr>
            </w:pPr>
            <w:r>
              <w:rPr>
                <w:sz w:val="26"/>
                <w:szCs w:val="26"/>
              </w:rPr>
              <w:t>Резка поврежденного участка</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 сварщик</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6</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Монтаж подготовленной трубы в поврежденный участок</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 сварщик</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7</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Монтаж изоляции восстановленного участка</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 сварщик</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8</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Установка заглушек на спускниках</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 сварщик</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9</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Подача теплоносителя – открытие задвижек на магистральном трубопроводе и задвижек на ответвлениях от магистрали.</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 сварщик</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3"/>
              </w:numPr>
              <w:spacing w:before="0" w:after="0"/>
              <w:contextualSpacing/>
              <w:rPr>
                <w:sz w:val="26"/>
                <w:szCs w:val="26"/>
              </w:rPr>
            </w:pPr>
            <w:r>
              <w:rPr>
                <w:b/>
                <w:bCs/>
                <w:sz w:val="26"/>
                <w:szCs w:val="26"/>
              </w:rPr>
              <w:t>Действия при установки бандажа, надземная магистраль</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1</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Отключение теплоснабжения – перекрытие задвижек на магистральном трубопроводе и задвижек на ответвлениях от магистрали.</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2</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Снятие заглушек спускников, слив теплоносителя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3</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Демонтаж изоляции поврежденного участка</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6"/>
                <w:szCs w:val="26"/>
              </w:rPr>
            </w:pPr>
            <w:r>
              <w:rPr>
                <w:sz w:val="26"/>
                <w:szCs w:val="26"/>
              </w:rPr>
              <w:t>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4</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Изготовление бандажа – резка труб</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both"/>
              <w:rPr>
                <w:sz w:val="26"/>
                <w:szCs w:val="26"/>
              </w:rPr>
            </w:pPr>
            <w:r>
              <w:rPr>
                <w:sz w:val="26"/>
                <w:szCs w:val="26"/>
              </w:rPr>
              <w:t>Сварщик</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5</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Установка бандажа, сварка, устранение течи</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 сварщик</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6</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Монтаж изоляции восстановленного участка</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 сварщик</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rHeight w:val="990" w:hRule="atLeast"/>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7</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Установка заглушек на спускниках</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 сварщик</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8</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Подача теплоносителя – открытие задвижек на магистральном трубопроводе и задвижек на ответвлениях от магистрали.</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 сварщик</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3"/>
              </w:numPr>
              <w:spacing w:before="0" w:after="0"/>
              <w:contextualSpacing/>
              <w:jc w:val="center"/>
              <w:rPr>
                <w:sz w:val="26"/>
                <w:szCs w:val="26"/>
              </w:rPr>
            </w:pPr>
            <w:r>
              <w:rPr>
                <w:b/>
                <w:bCs/>
                <w:sz w:val="26"/>
                <w:szCs w:val="26"/>
              </w:rPr>
              <w:t>Действия при сварочных работах, подземная магистраль, канальная прокладка</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1</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Поиск места повреждения. Демонтаж плит перекрытия.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2</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Отключение теплоснабжения – перекрытие задвижек на магистральном трубопроводе и задвижек на ответвлениях от магистрали.</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3</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Демонтаж изоляции поврежденного участка – 3 м</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4</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Снятие заглушек спускников, слив теплоносителя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5</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Подготовка к сварочным работам, операция на трубе, откачка воды из трубы</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6</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Сварочные работы, устранение течи</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7</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Установка заглушек на сбросниках</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8</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Включение теплоснабжения, подача теплоносителя – открытие задвижек на магистральном трубопроводе и задвижек на ответвлениях от магистрали.</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9</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Монтаж изоляции восстановленного участка</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 сварщик</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10</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sz w:val="26"/>
                <w:szCs w:val="26"/>
              </w:rPr>
            </w:pPr>
            <w:r>
              <w:rPr>
                <w:sz w:val="26"/>
                <w:szCs w:val="26"/>
              </w:rPr>
              <w:t>Монтаж плит перекрытия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 сварщик</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3"/>
              </w:numPr>
              <w:spacing w:before="0" w:after="0"/>
              <w:contextualSpacing/>
              <w:jc w:val="center"/>
              <w:rPr>
                <w:sz w:val="26"/>
                <w:szCs w:val="26"/>
              </w:rPr>
            </w:pPr>
            <w:r>
              <w:rPr>
                <w:b/>
                <w:bCs/>
                <w:sz w:val="26"/>
                <w:szCs w:val="26"/>
              </w:rPr>
              <w:t>Действия при замене запорной арматуры</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1</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Отключение теплоснабжения – перекрытие задвижек на магистральном трубопроводе и задвижек на ответвлениях от магистрали.</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2</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Снятие заглушек спускников, слив теплоносителя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3</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Демонтаж неисправной задвижки, резка болтов</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4</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sz w:val="26"/>
                <w:szCs w:val="26"/>
              </w:rPr>
            </w:pPr>
            <w:r>
              <w:rPr>
                <w:sz w:val="26"/>
                <w:szCs w:val="26"/>
              </w:rPr>
              <w:t>Монтаж новой задвижки</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5</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Установка заглушек на сбросниках</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6</w:t>
            </w:r>
          </w:p>
        </w:tc>
        <w:tc>
          <w:tcPr>
            <w:tcW w:w="446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Включение теплоснабжения, подача теплоносителя – открытие задвижек на магистральном трубопроводе и задвижек на ответвлениях от магистрали.</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 слесарь</w:t>
            </w:r>
          </w:p>
        </w:tc>
        <w:tc>
          <w:tcPr>
            <w:tcW w:w="169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before="0" w:after="0"/>
              <w:ind w:left="0" w:firstLine="709"/>
              <w:contextualSpacing/>
              <w:jc w:val="center"/>
              <w:rPr>
                <w:sz w:val="26"/>
                <w:szCs w:val="26"/>
              </w:rPr>
            </w:pPr>
            <w:r>
              <w:rPr>
                <w:sz w:val="26"/>
                <w:szCs w:val="26"/>
              </w:rPr>
            </w:r>
          </w:p>
        </w:tc>
      </w:tr>
    </w:tbl>
    <w:p>
      <w:pPr>
        <w:pStyle w:val="ListParagraph"/>
        <w:ind w:left="0" w:hanging="0"/>
        <w:jc w:val="center"/>
        <w:rPr>
          <w:sz w:val="26"/>
          <w:szCs w:val="26"/>
        </w:rPr>
      </w:pPr>
      <w:r>
        <w:rPr>
          <w:sz w:val="26"/>
          <w:szCs w:val="26"/>
        </w:rPr>
      </w:r>
    </w:p>
    <w:p>
      <w:pPr>
        <w:pStyle w:val="ListParagraph"/>
        <w:ind w:left="0" w:firstLine="567"/>
        <w:jc w:val="right"/>
        <w:rPr>
          <w:sz w:val="26"/>
          <w:szCs w:val="26"/>
        </w:rPr>
      </w:pPr>
      <w:r>
        <w:rPr>
          <w:sz w:val="26"/>
          <w:szCs w:val="26"/>
        </w:rPr>
        <w:t>Таблица № 32</w:t>
      </w:r>
    </w:p>
    <w:p>
      <w:pPr>
        <w:pStyle w:val="ListParagraph"/>
        <w:ind w:left="0" w:firstLine="709"/>
        <w:jc w:val="center"/>
        <w:rPr>
          <w:sz w:val="26"/>
          <w:szCs w:val="26"/>
        </w:rPr>
      </w:pPr>
      <w:r>
        <w:rPr>
          <w:b/>
          <w:bCs/>
          <w:sz w:val="26"/>
          <w:szCs w:val="26"/>
        </w:rPr>
        <w:t>«План действий при выходе из строя сетевого насоса, переход на резервный насос эксплуатирующей организацией»</w:t>
      </w:r>
    </w:p>
    <w:p>
      <w:pPr>
        <w:pStyle w:val="ListParagraph"/>
        <w:ind w:left="0" w:firstLine="567"/>
        <w:jc w:val="center"/>
        <w:rPr>
          <w:sz w:val="26"/>
          <w:szCs w:val="26"/>
        </w:rPr>
      </w:pPr>
      <w:r>
        <w:rPr>
          <w:sz w:val="26"/>
          <w:szCs w:val="26"/>
        </w:rPr>
      </w:r>
    </w:p>
    <w:tbl>
      <w:tblPr>
        <w:tblW w:w="9344" w:type="dxa"/>
        <w:jc w:val="left"/>
        <w:tblInd w:w="113" w:type="dxa"/>
        <w:tblLayout w:type="fixed"/>
        <w:tblCellMar>
          <w:top w:w="0" w:type="dxa"/>
          <w:left w:w="103" w:type="dxa"/>
          <w:bottom w:w="0" w:type="dxa"/>
          <w:right w:w="108" w:type="dxa"/>
        </w:tblCellMar>
        <w:tblLook w:val="04a0"/>
      </w:tblPr>
      <w:tblGrid>
        <w:gridCol w:w="841"/>
        <w:gridCol w:w="4633"/>
        <w:gridCol w:w="1519"/>
        <w:gridCol w:w="2350"/>
      </w:tblGrid>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w:t>
            </w:r>
            <w:r>
              <w:rPr>
                <w:b/>
                <w:bCs/>
                <w:sz w:val="26"/>
                <w:szCs w:val="26"/>
              </w:rPr>
              <w:t>п/п</w:t>
            </w:r>
          </w:p>
        </w:tc>
        <w:tc>
          <w:tcPr>
            <w:tcW w:w="463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Порядок действий</w:t>
            </w:r>
          </w:p>
        </w:tc>
        <w:tc>
          <w:tcPr>
            <w:tcW w:w="15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Место</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Ответственный руководитель</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1</w:t>
            </w:r>
          </w:p>
        </w:tc>
        <w:tc>
          <w:tcPr>
            <w:tcW w:w="463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2</w:t>
            </w:r>
          </w:p>
        </w:tc>
        <w:tc>
          <w:tcPr>
            <w:tcW w:w="15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3</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b/>
                <w:bCs/>
                <w:sz w:val="26"/>
                <w:szCs w:val="26"/>
              </w:rPr>
              <w:t>4</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1</w:t>
            </w:r>
          </w:p>
        </w:tc>
        <w:tc>
          <w:tcPr>
            <w:tcW w:w="463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При получении доклада об остановке сетевого насоса принимает меры по выявлению причин. Дает команду машинисту кочегару на аварийную остановку котла. Докладывает директору предприятия (заместителю директора) об отказе работы вспомогательного оборудования. Дает команду слесарю на запуск резервного сетевого насоса.</w:t>
            </w:r>
          </w:p>
        </w:tc>
        <w:tc>
          <w:tcPr>
            <w:tcW w:w="15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котельная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2</w:t>
            </w:r>
          </w:p>
        </w:tc>
        <w:tc>
          <w:tcPr>
            <w:tcW w:w="463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Производится аварийная остановка котла, прекращается подача топлива в котел, останавливается вентилятор, дымосос, отключается котел от магистральной линии.</w:t>
            </w:r>
          </w:p>
        </w:tc>
        <w:tc>
          <w:tcPr>
            <w:tcW w:w="15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котельная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Машинист-кочегар</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3</w:t>
            </w:r>
          </w:p>
        </w:tc>
        <w:tc>
          <w:tcPr>
            <w:tcW w:w="463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Закрываются задвижки на входе и выходе сетевого насоса</w:t>
            </w:r>
          </w:p>
        </w:tc>
        <w:tc>
          <w:tcPr>
            <w:tcW w:w="15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котельная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слесарь</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4</w:t>
            </w:r>
          </w:p>
        </w:tc>
        <w:tc>
          <w:tcPr>
            <w:tcW w:w="463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Обесточивание вышедшего из строя сетевого насоса. Подключение к электропитанию резервного насоса</w:t>
            </w:r>
          </w:p>
        </w:tc>
        <w:tc>
          <w:tcPr>
            <w:tcW w:w="15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котельная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электрик</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5</w:t>
            </w:r>
          </w:p>
        </w:tc>
        <w:tc>
          <w:tcPr>
            <w:tcW w:w="463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Открывает входную и выходную задвижки резервного сетевого насоса. Запуск резервного сетевого насоса в работу</w:t>
            </w:r>
          </w:p>
        </w:tc>
        <w:tc>
          <w:tcPr>
            <w:tcW w:w="15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котельная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rPr>
                <w:sz w:val="26"/>
                <w:szCs w:val="26"/>
              </w:rPr>
            </w:pPr>
            <w:r>
              <w:rPr>
                <w:sz w:val="26"/>
                <w:szCs w:val="26"/>
              </w:rPr>
              <w:t>слесарь</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6</w:t>
            </w:r>
          </w:p>
        </w:tc>
        <w:tc>
          <w:tcPr>
            <w:tcW w:w="463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После запуска резервного сетевого насоса дает команду машинисту- кочегару на розжиг котла.</w:t>
            </w:r>
          </w:p>
        </w:tc>
        <w:tc>
          <w:tcPr>
            <w:tcW w:w="15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котельная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7</w:t>
            </w:r>
          </w:p>
        </w:tc>
        <w:tc>
          <w:tcPr>
            <w:tcW w:w="463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Производится розжиг котла согласно инструкции</w:t>
            </w:r>
          </w:p>
        </w:tc>
        <w:tc>
          <w:tcPr>
            <w:tcW w:w="15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котельная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Машинист-кочегар</w:t>
            </w:r>
          </w:p>
        </w:tc>
      </w:tr>
      <w:tr>
        <w:trPr/>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firstLine="709"/>
              <w:contextualSpacing/>
              <w:jc w:val="center"/>
              <w:rPr>
                <w:sz w:val="26"/>
                <w:szCs w:val="26"/>
              </w:rPr>
            </w:pPr>
            <w:r>
              <w:rPr>
                <w:sz w:val="26"/>
                <w:szCs w:val="26"/>
              </w:rPr>
              <w:t>8</w:t>
            </w:r>
          </w:p>
        </w:tc>
        <w:tc>
          <w:tcPr>
            <w:tcW w:w="463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Докладывает директору (заместителю директора) о переходе на резервный сетевой насос и восстановлении режима работы котельной.</w:t>
            </w:r>
          </w:p>
        </w:tc>
        <w:tc>
          <w:tcPr>
            <w:tcW w:w="15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котельная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before="0" w:after="0"/>
              <w:ind w:left="0" w:hanging="0"/>
              <w:contextualSpacing/>
              <w:rPr>
                <w:sz w:val="26"/>
                <w:szCs w:val="26"/>
              </w:rPr>
            </w:pPr>
            <w:r>
              <w:rPr>
                <w:sz w:val="26"/>
                <w:szCs w:val="26"/>
              </w:rPr>
              <w:t>Мастер производственного участка</w:t>
            </w:r>
          </w:p>
        </w:tc>
      </w:tr>
    </w:tbl>
    <w:p>
      <w:pPr>
        <w:pStyle w:val="ListParagraph"/>
        <w:ind w:left="0" w:firstLine="567"/>
        <w:jc w:val="center"/>
        <w:rPr>
          <w:sz w:val="26"/>
          <w:szCs w:val="26"/>
        </w:rPr>
      </w:pPr>
      <w:r>
        <w:rPr>
          <w:sz w:val="26"/>
          <w:szCs w:val="26"/>
        </w:rPr>
      </w:r>
    </w:p>
    <w:p>
      <w:pPr>
        <w:pStyle w:val="Normal"/>
        <w:ind w:firstLine="708"/>
        <w:jc w:val="both"/>
        <w:rPr>
          <w:sz w:val="26"/>
          <w:szCs w:val="26"/>
        </w:rPr>
      </w:pPr>
      <w:r>
        <w:rPr>
          <w:sz w:val="26"/>
          <w:szCs w:val="26"/>
        </w:rPr>
        <w:t>По завершению аварийных работ мастером производственного участка совместно с инженером ОТ, заместителем директора производится тщательное расследование причин аварий и разбор действий персонала при устранении аварии с привлечением всех работников производственного участка.</w:t>
      </w:r>
    </w:p>
    <w:p>
      <w:pPr>
        <w:pStyle w:val="Normal"/>
        <w:ind w:firstLine="708"/>
        <w:jc w:val="both"/>
        <w:rPr>
          <w:sz w:val="26"/>
          <w:szCs w:val="26"/>
        </w:rPr>
      </w:pPr>
      <w:r>
        <w:rPr>
          <w:sz w:val="26"/>
          <w:szCs w:val="26"/>
        </w:rPr>
        <w:t>Если после окончания аварийных работ провести разбор невозможно, то провести разбор следует в течении пяти дней после их окончания.</w:t>
      </w:r>
    </w:p>
    <w:p>
      <w:pPr>
        <w:pStyle w:val="Normal"/>
        <w:ind w:firstLine="708"/>
        <w:jc w:val="both"/>
        <w:rPr>
          <w:sz w:val="26"/>
          <w:szCs w:val="26"/>
        </w:rPr>
      </w:pPr>
      <w:r>
        <w:rPr>
          <w:b/>
          <w:bCs/>
          <w:sz w:val="26"/>
          <w:szCs w:val="26"/>
        </w:rPr>
        <w:t>При разборе по каждому участнику анализируются:</w:t>
      </w:r>
    </w:p>
    <w:p>
      <w:pPr>
        <w:pStyle w:val="Normal"/>
        <w:ind w:left="708" w:firstLine="708"/>
        <w:jc w:val="both"/>
        <w:rPr>
          <w:sz w:val="26"/>
          <w:szCs w:val="26"/>
        </w:rPr>
      </w:pPr>
      <w:r>
        <w:rPr>
          <w:sz w:val="26"/>
          <w:szCs w:val="26"/>
        </w:rPr>
        <w:t>- правильность действий по ликвидации аварии;</w:t>
      </w:r>
    </w:p>
    <w:p>
      <w:pPr>
        <w:pStyle w:val="Normal"/>
        <w:ind w:left="708" w:firstLine="708"/>
        <w:jc w:val="both"/>
        <w:rPr>
          <w:sz w:val="26"/>
          <w:szCs w:val="26"/>
        </w:rPr>
      </w:pPr>
      <w:r>
        <w:rPr>
          <w:sz w:val="26"/>
          <w:szCs w:val="26"/>
        </w:rPr>
        <w:t>- допущенные ошибки и их причины;</w:t>
      </w:r>
    </w:p>
    <w:p>
      <w:pPr>
        <w:pStyle w:val="Normal"/>
        <w:ind w:left="708" w:firstLine="708"/>
        <w:jc w:val="both"/>
        <w:rPr>
          <w:sz w:val="26"/>
          <w:szCs w:val="26"/>
        </w:rPr>
      </w:pPr>
      <w:r>
        <w:rPr>
          <w:sz w:val="26"/>
          <w:szCs w:val="26"/>
        </w:rPr>
        <w:t>- правильность ведения оперативных переговоров и использования средств связи.</w:t>
      </w:r>
    </w:p>
    <w:p>
      <w:pPr>
        <w:pStyle w:val="Normal"/>
        <w:ind w:firstLine="708"/>
        <w:jc w:val="both"/>
        <w:rPr>
          <w:sz w:val="26"/>
          <w:szCs w:val="26"/>
        </w:rPr>
      </w:pPr>
      <w:r>
        <w:rPr>
          <w:b/>
          <w:bCs/>
          <w:sz w:val="26"/>
          <w:szCs w:val="26"/>
        </w:rPr>
        <w:t>Разбор аварийной ситуации производится с целью определения причин, приведших к созданию аварийной обстановки, правильности действий каждого участника при ликвидации аварии и разработки мероприятий по повышению надежности работы оборудования и безопасности обслуживающего персонала.</w:t>
      </w:r>
    </w:p>
    <w:p>
      <w:pPr>
        <w:pStyle w:val="Normal"/>
        <w:ind w:firstLine="708"/>
        <w:jc w:val="both"/>
        <w:rPr>
          <w:sz w:val="26"/>
          <w:szCs w:val="26"/>
        </w:rPr>
      </w:pPr>
      <w:r>
        <w:rPr>
          <w:sz w:val="26"/>
          <w:szCs w:val="26"/>
        </w:rPr>
      </w:r>
    </w:p>
    <w:p>
      <w:pPr>
        <w:pStyle w:val="Normal"/>
        <w:spacing w:lineRule="auto" w:line="360"/>
        <w:ind w:firstLine="708"/>
        <w:jc w:val="both"/>
        <w:rPr>
          <w:sz w:val="26"/>
          <w:szCs w:val="26"/>
        </w:rPr>
      </w:pPr>
      <w:r>
        <w:rPr>
          <w:sz w:val="26"/>
          <w:szCs w:val="26"/>
        </w:rPr>
      </w:r>
    </w:p>
    <w:p>
      <w:pPr>
        <w:pStyle w:val="Standard"/>
        <w:jc w:val="center"/>
        <w:rPr>
          <w:sz w:val="26"/>
          <w:szCs w:val="26"/>
        </w:rPr>
      </w:pPr>
      <w:r>
        <w:rPr>
          <w:b/>
          <w:bCs/>
          <w:sz w:val="26"/>
          <w:szCs w:val="26"/>
        </w:rPr>
        <w:t xml:space="preserve">Раздел13. Расчет допустимого времени устранения аварий на тепловых сетях </w:t>
      </w:r>
    </w:p>
    <w:p>
      <w:pPr>
        <w:pStyle w:val="Standard"/>
        <w:jc w:val="center"/>
        <w:rPr>
          <w:sz w:val="26"/>
          <w:szCs w:val="26"/>
        </w:rPr>
      </w:pPr>
      <w:r>
        <w:rPr>
          <w:b/>
          <w:bCs/>
          <w:sz w:val="26"/>
          <w:szCs w:val="26"/>
        </w:rPr>
        <w:t>МКП «ЖКХ Усть-Абаканского района»</w:t>
      </w:r>
    </w:p>
    <w:p>
      <w:pPr>
        <w:pStyle w:val="Standard"/>
        <w:jc w:val="center"/>
        <w:rPr>
          <w:b/>
          <w:b/>
          <w:bCs/>
          <w:sz w:val="26"/>
          <w:szCs w:val="26"/>
        </w:rPr>
      </w:pPr>
      <w:r>
        <w:rPr>
          <w:b/>
          <w:bCs/>
          <w:sz w:val="26"/>
          <w:szCs w:val="26"/>
        </w:rPr>
      </w:r>
    </w:p>
    <w:p>
      <w:pPr>
        <w:pStyle w:val="Standard"/>
        <w:jc w:val="both"/>
        <w:rPr>
          <w:sz w:val="26"/>
          <w:szCs w:val="26"/>
        </w:rPr>
      </w:pPr>
      <w:r>
        <w:rPr>
          <w:rFonts w:eastAsia="Times New Roman" w:cs="Times New Roman" w:ascii="Times New Roman" w:hAnsi="Times New Roman"/>
          <w:sz w:val="26"/>
          <w:szCs w:val="26"/>
          <w:lang w:eastAsia="ru-RU"/>
        </w:rPr>
        <w:t>Повышение уровня централизации теплоснабжения сопровождается двумя опасными рисками - риском серьезного аварийного нарушения процесса теплоснабжения и риском затяжного (сверх допустимого) времени обнаружения и устранения аварий и неисправностей.</w:t>
      </w:r>
    </w:p>
    <w:p>
      <w:pPr>
        <w:pStyle w:val="Standard"/>
        <w:spacing w:before="100" w:after="100"/>
        <w:jc w:val="both"/>
        <w:rPr>
          <w:sz w:val="26"/>
          <w:szCs w:val="26"/>
        </w:rPr>
      </w:pPr>
      <w:r>
        <w:rPr>
          <w:rFonts w:eastAsia="Times New Roman" w:cs="Times New Roman" w:ascii="Times New Roman" w:hAnsi="Times New Roman"/>
          <w:sz w:val="26"/>
          <w:szCs w:val="26"/>
          <w:lang w:eastAsia="ru-RU"/>
        </w:rPr>
        <w:t>Среднее время восстановления поврежденного участка теплосети при этом (в зависимости от диаметра и конструкции его) составляет от 5 до 50 ч и более, а полное восстановление повреждения может потребовать несколько суток (табл. 1).</w:t>
      </w:r>
    </w:p>
    <w:p>
      <w:pPr>
        <w:pStyle w:val="Standard"/>
        <w:spacing w:before="100" w:after="100"/>
        <w:rPr>
          <w:sz w:val="26"/>
          <w:szCs w:val="26"/>
        </w:rPr>
      </w:pPr>
      <w:r>
        <w:rPr>
          <w:rFonts w:eastAsia="Times New Roman" w:cs="Times New Roman" w:ascii="Times New Roman" w:hAnsi="Times New Roman"/>
          <w:b/>
          <w:bCs/>
          <w:color w:val="808000"/>
          <w:sz w:val="26"/>
          <w:szCs w:val="26"/>
          <w:lang w:eastAsia="ru-RU"/>
        </w:rPr>
        <w:t>Таблица 1.</w:t>
      </w:r>
      <w:r>
        <w:rPr>
          <w:rFonts w:eastAsia="Times New Roman" w:cs="Times New Roman" w:ascii="Times New Roman" w:hAnsi="Times New Roman"/>
          <w:b/>
          <w:bCs/>
          <w:sz w:val="26"/>
          <w:szCs w:val="26"/>
          <w:lang w:eastAsia="ru-RU"/>
        </w:rPr>
        <w:t xml:space="preserve"> Среднее время восстановления z</w:t>
      </w:r>
      <w:r>
        <w:rPr>
          <w:rFonts w:eastAsia="Times New Roman" w:cs="Times New Roman" w:ascii="Times New Roman" w:hAnsi="Times New Roman"/>
          <w:b/>
          <w:bCs/>
          <w:sz w:val="26"/>
          <w:szCs w:val="26"/>
          <w:vertAlign w:val="subscript"/>
          <w:lang w:eastAsia="ru-RU"/>
        </w:rPr>
        <w:t>р</w:t>
      </w:r>
      <w:r>
        <w:rPr>
          <w:rFonts w:eastAsia="Times New Roman" w:cs="Times New Roman" w:ascii="Times New Roman" w:hAnsi="Times New Roman"/>
          <w:b/>
          <w:bCs/>
          <w:sz w:val="26"/>
          <w:szCs w:val="26"/>
          <w:lang w:eastAsia="ru-RU"/>
        </w:rPr>
        <w:t>, ч, поврежденного участка тепловой сети</w:t>
      </w:r>
    </w:p>
    <w:tbl>
      <w:tblPr>
        <w:tblW w:w="9385" w:type="dxa"/>
        <w:jc w:val="left"/>
        <w:tblInd w:w="-11" w:type="dxa"/>
        <w:tblLayout w:type="fixed"/>
        <w:tblCellMar>
          <w:top w:w="0" w:type="dxa"/>
          <w:left w:w="7" w:type="dxa"/>
          <w:bottom w:w="0" w:type="dxa"/>
          <w:right w:w="7" w:type="dxa"/>
        </w:tblCellMar>
        <w:tblLook w:val="04a0"/>
      </w:tblPr>
      <w:tblGrid>
        <w:gridCol w:w="2578"/>
        <w:gridCol w:w="3585"/>
        <w:gridCol w:w="3222"/>
      </w:tblGrid>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b/>
                <w:bCs/>
                <w:color w:val="003366"/>
                <w:sz w:val="26"/>
                <w:szCs w:val="26"/>
                <w:lang w:eastAsia="ru-RU"/>
              </w:rPr>
              <w:t>Диаметр труб d, м</w:t>
            </w:r>
          </w:p>
        </w:tc>
        <w:tc>
          <w:tcPr>
            <w:tcW w:w="3585"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b/>
                <w:bCs/>
                <w:color w:val="003366"/>
                <w:sz w:val="26"/>
                <w:szCs w:val="26"/>
                <w:lang w:eastAsia="ru-RU"/>
              </w:rPr>
              <w:t>Расстояние между секционирующими задвижками l, км</w:t>
            </w:r>
          </w:p>
        </w:tc>
        <w:tc>
          <w:tcPr>
            <w:tcW w:w="322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b/>
                <w:bCs/>
                <w:color w:val="003366"/>
                <w:sz w:val="26"/>
                <w:szCs w:val="26"/>
                <w:lang w:eastAsia="ru-RU"/>
              </w:rPr>
              <w:t>Среднее время восстановления z</w:t>
            </w:r>
            <w:r>
              <w:rPr>
                <w:rFonts w:eastAsia="Times New Roman" w:cs="Times New Roman" w:ascii="Times New Roman" w:hAnsi="Times New Roman"/>
                <w:b/>
                <w:bCs/>
                <w:color w:val="003366"/>
                <w:sz w:val="26"/>
                <w:szCs w:val="26"/>
                <w:vertAlign w:val="subscript"/>
                <w:lang w:eastAsia="ru-RU"/>
              </w:rPr>
              <w:t>р</w:t>
            </w:r>
            <w:r>
              <w:rPr>
                <w:rFonts w:eastAsia="Times New Roman" w:cs="Times New Roman" w:ascii="Times New Roman" w:hAnsi="Times New Roman"/>
                <w:b/>
                <w:bCs/>
                <w:color w:val="003366"/>
                <w:sz w:val="26"/>
                <w:szCs w:val="26"/>
                <w:lang w:eastAsia="ru-RU"/>
              </w:rPr>
              <w:t>, ч</w:t>
            </w:r>
          </w:p>
        </w:tc>
      </w:tr>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0,1-0,2</w:t>
            </w:r>
          </w:p>
        </w:tc>
        <w:tc>
          <w:tcPr>
            <w:tcW w:w="3585"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w:t>
            </w:r>
          </w:p>
        </w:tc>
        <w:tc>
          <w:tcPr>
            <w:tcW w:w="322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5</w:t>
            </w:r>
          </w:p>
        </w:tc>
      </w:tr>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0,4-0,5</w:t>
            </w:r>
          </w:p>
        </w:tc>
        <w:tc>
          <w:tcPr>
            <w:tcW w:w="3585"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1,5</w:t>
            </w:r>
          </w:p>
        </w:tc>
        <w:tc>
          <w:tcPr>
            <w:tcW w:w="322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10-12</w:t>
            </w:r>
          </w:p>
        </w:tc>
      </w:tr>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0,6</w:t>
            </w:r>
          </w:p>
        </w:tc>
        <w:tc>
          <w:tcPr>
            <w:tcW w:w="3585"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2-3</w:t>
            </w:r>
          </w:p>
        </w:tc>
        <w:tc>
          <w:tcPr>
            <w:tcW w:w="322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17-22</w:t>
            </w:r>
          </w:p>
        </w:tc>
      </w:tr>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1</w:t>
            </w:r>
          </w:p>
        </w:tc>
        <w:tc>
          <w:tcPr>
            <w:tcW w:w="3585"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2-3</w:t>
            </w:r>
          </w:p>
        </w:tc>
        <w:tc>
          <w:tcPr>
            <w:tcW w:w="322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27-36</w:t>
            </w:r>
          </w:p>
        </w:tc>
      </w:tr>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1,4</w:t>
            </w:r>
          </w:p>
        </w:tc>
        <w:tc>
          <w:tcPr>
            <w:tcW w:w="3585"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2-3</w:t>
            </w:r>
          </w:p>
        </w:tc>
        <w:tc>
          <w:tcPr>
            <w:tcW w:w="322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38-51</w:t>
            </w:r>
          </w:p>
        </w:tc>
      </w:tr>
    </w:tbl>
    <w:p>
      <w:pPr>
        <w:pStyle w:val="Standard"/>
        <w:spacing w:before="100" w:after="100"/>
        <w:rPr>
          <w:sz w:val="26"/>
          <w:szCs w:val="26"/>
        </w:rPr>
      </w:pPr>
      <w:r>
        <w:rPr>
          <w:rFonts w:eastAsia="Times New Roman" w:cs="Times New Roman" w:ascii="Times New Roman" w:hAnsi="Times New Roman"/>
          <w:sz w:val="26"/>
          <w:szCs w:val="26"/>
          <w:lang w:eastAsia="ru-RU"/>
        </w:rPr>
        <w:t> </w:t>
      </w:r>
    </w:p>
    <w:p>
      <w:pPr>
        <w:pStyle w:val="Standard"/>
        <w:spacing w:before="100" w:after="100"/>
        <w:jc w:val="both"/>
        <w:rPr>
          <w:sz w:val="26"/>
          <w:szCs w:val="26"/>
        </w:rPr>
      </w:pPr>
      <w:r>
        <w:rPr>
          <w:rFonts w:eastAsia="Times New Roman" w:cs="Times New Roman" w:ascii="Times New Roman" w:hAnsi="Times New Roman"/>
          <w:sz w:val="26"/>
          <w:szCs w:val="26"/>
          <w:lang w:eastAsia="ru-RU"/>
        </w:rPr>
        <w:t>Время z</w:t>
      </w:r>
      <w:r>
        <w:rPr>
          <w:rFonts w:eastAsia="Times New Roman" w:cs="Times New Roman" w:ascii="Times New Roman" w:hAnsi="Times New Roman"/>
          <w:sz w:val="26"/>
          <w:szCs w:val="26"/>
          <w:vertAlign w:val="subscript"/>
          <w:lang w:eastAsia="ru-RU"/>
        </w:rPr>
        <w:t>p</w:t>
      </w:r>
      <w:r>
        <w:rPr>
          <w:rFonts w:eastAsia="Times New Roman" w:cs="Times New Roman" w:ascii="Times New Roman" w:hAnsi="Times New Roman"/>
          <w:sz w:val="26"/>
          <w:szCs w:val="26"/>
          <w:lang w:eastAsia="ru-RU"/>
        </w:rPr>
        <w:t>, ч, необходимое для восстановления поврежденного участка магистральной тепловой сети с диаметром труб d, м, и расстоянием между секционирующими задвижками l, км, можно рассчитать также по следующей эмпирической формуле:</w:t>
      </w:r>
    </w:p>
    <w:tbl>
      <w:tblPr>
        <w:tblW w:w="9354" w:type="dxa"/>
        <w:jc w:val="left"/>
        <w:tblInd w:w="-10" w:type="dxa"/>
        <w:tblLayout w:type="fixed"/>
        <w:tblCellMar>
          <w:top w:w="0" w:type="dxa"/>
          <w:left w:w="0" w:type="dxa"/>
          <w:bottom w:w="0" w:type="dxa"/>
          <w:right w:w="0" w:type="dxa"/>
        </w:tblCellMar>
        <w:tblLook w:val="04a0"/>
      </w:tblPr>
      <w:tblGrid>
        <w:gridCol w:w="4677"/>
        <w:gridCol w:w="4676"/>
      </w:tblGrid>
      <w:tr>
        <w:trPr/>
        <w:tc>
          <w:tcPr>
            <w:tcW w:w="4677" w:type="dxa"/>
            <w:tcBorders/>
            <w:shd w:color="auto" w:fill="auto" w:val="clear"/>
          </w:tcPr>
          <w:p>
            <w:pPr>
              <w:pStyle w:val="Standard"/>
              <w:widowControl w:val="false"/>
              <w:spacing w:before="100" w:after="100"/>
              <w:jc w:val="both"/>
              <w:rPr>
                <w:sz w:val="26"/>
                <w:szCs w:val="26"/>
              </w:rPr>
            </w:pPr>
            <w:r>
              <w:rPr/>
              <w:drawing>
                <wp:inline distT="0" distB="0" distL="0" distR="0">
                  <wp:extent cx="1733550" cy="190500"/>
                  <wp:effectExtent l="0" t="0" r="0" b="0"/>
                  <wp:docPr id="11"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4" descr=""/>
                          <pic:cNvPicPr>
                            <a:picLocks noChangeAspect="1" noChangeArrowheads="1"/>
                          </pic:cNvPicPr>
                        </pic:nvPicPr>
                        <pic:blipFill>
                          <a:blip r:embed="rId12"/>
                          <a:srcRect l="-83" t="-473" r="-83" b="-473"/>
                          <a:stretch>
                            <a:fillRect/>
                          </a:stretch>
                        </pic:blipFill>
                        <pic:spPr bwMode="auto">
                          <a:xfrm>
                            <a:off x="0" y="0"/>
                            <a:ext cx="1733550" cy="190500"/>
                          </a:xfrm>
                          <a:prstGeom prst="rect">
                            <a:avLst/>
                          </a:prstGeom>
                        </pic:spPr>
                      </pic:pic>
                    </a:graphicData>
                  </a:graphic>
                </wp:inline>
              </w:drawing>
            </w:r>
          </w:p>
        </w:tc>
        <w:tc>
          <w:tcPr>
            <w:tcW w:w="4676" w:type="dxa"/>
            <w:tcBorders/>
            <w:shd w:color="auto" w:fill="auto" w:val="clear"/>
          </w:tcPr>
          <w:p>
            <w:pPr>
              <w:pStyle w:val="Standard"/>
              <w:widowControl w:val="false"/>
              <w:spacing w:before="100" w:after="100"/>
              <w:jc w:val="both"/>
              <w:rPr>
                <w:sz w:val="26"/>
                <w:szCs w:val="26"/>
              </w:rPr>
            </w:pPr>
            <w:r>
              <w:rPr>
                <w:rFonts w:eastAsia="Times New Roman" w:cs="Times New Roman" w:ascii="Times New Roman" w:hAnsi="Times New Roman"/>
                <w:sz w:val="26"/>
                <w:szCs w:val="26"/>
                <w:lang w:eastAsia="ru-RU"/>
              </w:rPr>
              <w:t>(1)</w:t>
            </w:r>
          </w:p>
        </w:tc>
      </w:tr>
    </w:tbl>
    <w:p>
      <w:pPr>
        <w:pStyle w:val="Standard"/>
        <w:spacing w:before="100" w:after="100"/>
        <w:jc w:val="both"/>
        <w:rPr>
          <w:sz w:val="26"/>
          <w:szCs w:val="26"/>
        </w:rPr>
      </w:pPr>
      <w:r>
        <w:rPr>
          <w:rFonts w:eastAsia="Times New Roman" w:cs="Times New Roman" w:ascii="Times New Roman" w:hAnsi="Times New Roman"/>
          <w:sz w:val="26"/>
          <w:szCs w:val="26"/>
          <w:lang w:eastAsia="ru-RU"/>
        </w:rPr>
        <w:t>Линия падения внутренней температуры отапливаемых помещений во времени при этом носит экспоненциальный (нисподающий) характер (рис. 1) и зависит в первую очередь от конструктивных характеристик зданий (конструкции и материала стен и утеплителей, коэффициента остекления, расположения помещений в здании и др.), определяющих аккумуляционную способность строений, а также климатических условий размещения объектов.</w:t>
      </w:r>
    </w:p>
    <w:p>
      <w:pPr>
        <w:pStyle w:val="Standard"/>
        <w:spacing w:before="100" w:after="100"/>
        <w:rPr>
          <w:sz w:val="26"/>
          <w:szCs w:val="26"/>
        </w:rPr>
      </w:pPr>
      <w:r>
        <w:rPr/>
        <w:drawing>
          <wp:inline distT="0" distB="0" distL="0" distR="0">
            <wp:extent cx="2209800" cy="1857375"/>
            <wp:effectExtent l="0" t="0" r="0" b="0"/>
            <wp:docPr id="12"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5" descr=""/>
                    <pic:cNvPicPr>
                      <a:picLocks noChangeAspect="1" noChangeArrowheads="1"/>
                    </pic:cNvPicPr>
                  </pic:nvPicPr>
                  <pic:blipFill>
                    <a:blip r:embed="rId13"/>
                    <a:srcRect l="-33" t="-39" r="-33" b="-39"/>
                    <a:stretch>
                      <a:fillRect/>
                    </a:stretch>
                  </pic:blipFill>
                  <pic:spPr bwMode="auto">
                    <a:xfrm>
                      <a:off x="0" y="0"/>
                      <a:ext cx="2209800" cy="1857375"/>
                    </a:xfrm>
                    <a:prstGeom prst="rect">
                      <a:avLst/>
                    </a:prstGeom>
                  </pic:spPr>
                </pic:pic>
              </a:graphicData>
            </a:graphic>
          </wp:inline>
        </w:drawing>
      </w:r>
    </w:p>
    <w:p>
      <w:pPr>
        <w:pStyle w:val="Standard"/>
        <w:spacing w:before="100" w:after="100"/>
        <w:rPr>
          <w:sz w:val="26"/>
          <w:szCs w:val="26"/>
        </w:rPr>
      </w:pPr>
      <w:r>
        <w:rPr>
          <w:rFonts w:eastAsia="Times New Roman" w:cs="Times New Roman" w:ascii="Times New Roman" w:hAnsi="Times New Roman"/>
          <w:b/>
          <w:bCs/>
          <w:color w:val="808000"/>
          <w:sz w:val="26"/>
          <w:szCs w:val="26"/>
          <w:lang w:eastAsia="ru-RU"/>
        </w:rPr>
        <w:t>Рисунок 1.</w:t>
      </w:r>
      <w:r>
        <w:rPr>
          <w:rFonts w:eastAsia="Times New Roman" w:cs="Times New Roman" w:ascii="Times New Roman" w:hAnsi="Times New Roman"/>
          <w:b/>
          <w:bCs/>
          <w:sz w:val="26"/>
          <w:szCs w:val="26"/>
          <w:lang w:eastAsia="ru-RU"/>
        </w:rPr>
        <w:t xml:space="preserve"> Линии падения температуры внутреннего воздуха (------) и внутренней поверхности наружной стены (- - - - -) здания после отключения отопления</w:t>
      </w:r>
    </w:p>
    <w:p>
      <w:pPr>
        <w:pStyle w:val="Standard"/>
        <w:spacing w:before="100" w:after="100"/>
        <w:rPr>
          <w:sz w:val="26"/>
          <w:szCs w:val="26"/>
        </w:rPr>
      </w:pPr>
      <w:r>
        <w:rPr>
          <w:rFonts w:eastAsia="Times New Roman" w:cs="Times New Roman" w:ascii="Times New Roman" w:hAnsi="Times New Roman"/>
          <w:sz w:val="26"/>
          <w:szCs w:val="26"/>
          <w:lang w:eastAsia="ru-RU"/>
        </w:rPr>
        <w:t>Примерные кривые изменения температуры внутреннего воздуха при включении отопления - натопе показаны на рис. 2.</w:t>
      </w:r>
    </w:p>
    <w:p>
      <w:pPr>
        <w:pStyle w:val="Standard"/>
        <w:spacing w:before="100" w:after="100"/>
        <w:rPr>
          <w:sz w:val="26"/>
          <w:szCs w:val="26"/>
        </w:rPr>
      </w:pPr>
      <w:r>
        <w:rPr/>
        <w:drawing>
          <wp:inline distT="0" distB="0" distL="0" distR="0">
            <wp:extent cx="2200275" cy="2533650"/>
            <wp:effectExtent l="0" t="0" r="0" b="0"/>
            <wp:docPr id="13"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6" descr=""/>
                    <pic:cNvPicPr>
                      <a:picLocks noChangeAspect="1" noChangeArrowheads="1"/>
                    </pic:cNvPicPr>
                  </pic:nvPicPr>
                  <pic:blipFill>
                    <a:blip r:embed="rId14"/>
                    <a:srcRect l="-33" t="-28" r="-33" b="-28"/>
                    <a:stretch>
                      <a:fillRect/>
                    </a:stretch>
                  </pic:blipFill>
                  <pic:spPr bwMode="auto">
                    <a:xfrm>
                      <a:off x="0" y="0"/>
                      <a:ext cx="2200275" cy="2533650"/>
                    </a:xfrm>
                    <a:prstGeom prst="rect">
                      <a:avLst/>
                    </a:prstGeom>
                  </pic:spPr>
                </pic:pic>
              </a:graphicData>
            </a:graphic>
          </wp:inline>
        </w:drawing>
      </w:r>
    </w:p>
    <w:p>
      <w:pPr>
        <w:pStyle w:val="Standard"/>
        <w:spacing w:before="100" w:after="100"/>
        <w:jc w:val="both"/>
        <w:rPr>
          <w:sz w:val="26"/>
          <w:szCs w:val="26"/>
        </w:rPr>
      </w:pPr>
      <w:r>
        <w:rPr>
          <w:rFonts w:eastAsia="Times New Roman" w:cs="Times New Roman" w:ascii="Times New Roman" w:hAnsi="Times New Roman"/>
          <w:b/>
          <w:bCs/>
          <w:color w:val="808000"/>
          <w:sz w:val="26"/>
          <w:szCs w:val="26"/>
          <w:lang w:eastAsia="ru-RU"/>
        </w:rPr>
        <w:t>Рисунок 2.</w:t>
      </w:r>
      <w:r>
        <w:rPr>
          <w:rFonts w:eastAsia="Times New Roman" w:cs="Times New Roman" w:ascii="Times New Roman" w:hAnsi="Times New Roman"/>
          <w:b/>
          <w:bCs/>
          <w:sz w:val="26"/>
          <w:szCs w:val="26"/>
          <w:lang w:eastAsia="ru-RU"/>
        </w:rPr>
        <w:t xml:space="preserve"> Кривые изменения температуры внутреннего воздуха и внутренней поверхности наружной стены при включении отопления - натопе</w:t>
      </w:r>
    </w:p>
    <w:p>
      <w:pPr>
        <w:pStyle w:val="Standard"/>
        <w:spacing w:before="100" w:after="100"/>
        <w:jc w:val="both"/>
        <w:rPr>
          <w:sz w:val="26"/>
          <w:szCs w:val="26"/>
        </w:rPr>
      </w:pPr>
      <w:r>
        <w:rPr>
          <w:rFonts w:eastAsia="Times New Roman" w:cs="Times New Roman" w:ascii="Times New Roman" w:hAnsi="Times New Roman"/>
          <w:sz w:val="26"/>
          <w:szCs w:val="26"/>
          <w:lang w:eastAsia="ru-RU"/>
        </w:rPr>
        <w:t>Эмпирически удалось вычислить примерные коэффициенты аккумуляции зданий, темпы падения внутренней температуры и разработать методику расчета, основные положения которой рассмотрим подробнее.</w:t>
      </w:r>
    </w:p>
    <w:p>
      <w:pPr>
        <w:pStyle w:val="Standard"/>
        <w:spacing w:before="100" w:after="100"/>
        <w:jc w:val="both"/>
        <w:rPr>
          <w:sz w:val="26"/>
          <w:szCs w:val="26"/>
        </w:rPr>
      </w:pPr>
      <w:r>
        <w:rPr>
          <w:rFonts w:eastAsia="Times New Roman" w:cs="Times New Roman" w:ascii="Times New Roman" w:hAnsi="Times New Roman"/>
          <w:sz w:val="26"/>
          <w:szCs w:val="26"/>
          <w:lang w:eastAsia="ru-RU"/>
        </w:rPr>
        <w:t>Замораживание трубопроводов в подвалах, лестничных клетках и на чердаках зданий может произойти в случае прекращения подачи теплоты при снижении температуры воздуха внутри жилых помещений до 8 °С и ниже. Примерный темп падения температуры в отапливаемых помещениях (°С/ч) при полном отключении подачи теплоты приведен в табл. 2, по нему определены коэффициенты аккумуляции зданий.</w:t>
      </w:r>
    </w:p>
    <w:p>
      <w:pPr>
        <w:pStyle w:val="Standard"/>
        <w:spacing w:before="100" w:after="100"/>
        <w:rPr>
          <w:sz w:val="26"/>
          <w:szCs w:val="26"/>
        </w:rPr>
      </w:pPr>
      <w:r>
        <w:rPr>
          <w:rFonts w:eastAsia="Times New Roman" w:cs="Times New Roman" w:ascii="Times New Roman" w:hAnsi="Times New Roman"/>
          <w:b/>
          <w:bCs/>
          <w:color w:val="808000"/>
          <w:sz w:val="26"/>
          <w:szCs w:val="26"/>
          <w:lang w:eastAsia="ru-RU"/>
        </w:rPr>
        <w:t>Таблица 2.</w:t>
      </w:r>
      <w:r>
        <w:rPr>
          <w:rFonts w:eastAsia="Times New Roman" w:cs="Times New Roman" w:ascii="Times New Roman" w:hAnsi="Times New Roman"/>
          <w:b/>
          <w:bCs/>
          <w:sz w:val="26"/>
          <w:szCs w:val="26"/>
          <w:lang w:eastAsia="ru-RU"/>
        </w:rPr>
        <w:t xml:space="preserve"> Темпы падения внутренней температуры здания при различных температурах наружного воздуха</w:t>
      </w:r>
    </w:p>
    <w:p>
      <w:pPr>
        <w:pStyle w:val="Standard"/>
        <w:spacing w:before="100" w:after="100"/>
        <w:rPr>
          <w:rFonts w:ascii="Times New Roman" w:hAnsi="Times New Roman" w:eastAsia="Times New Roman" w:cs="Times New Roman"/>
          <w:b/>
          <w:b/>
          <w:bCs/>
          <w:sz w:val="26"/>
          <w:szCs w:val="26"/>
          <w:lang w:eastAsia="ru-RU"/>
        </w:rPr>
      </w:pPr>
      <w:r>
        <w:rPr>
          <w:rFonts w:eastAsia="Times New Roman" w:cs="Times New Roman" w:ascii="Times New Roman" w:hAnsi="Times New Roman"/>
          <w:b/>
          <w:bCs/>
          <w:sz w:val="26"/>
          <w:szCs w:val="26"/>
          <w:lang w:eastAsia="ru-RU"/>
        </w:rPr>
      </w:r>
    </w:p>
    <w:tbl>
      <w:tblPr>
        <w:tblW w:w="9386" w:type="dxa"/>
        <w:jc w:val="left"/>
        <w:tblInd w:w="-11" w:type="dxa"/>
        <w:tblLayout w:type="fixed"/>
        <w:tblCellMar>
          <w:top w:w="0" w:type="dxa"/>
          <w:left w:w="7" w:type="dxa"/>
          <w:bottom w:w="0" w:type="dxa"/>
          <w:right w:w="7" w:type="dxa"/>
        </w:tblCellMar>
        <w:tblLook w:val="04a0"/>
      </w:tblPr>
      <w:tblGrid>
        <w:gridCol w:w="3246"/>
        <w:gridCol w:w="1143"/>
        <w:gridCol w:w="1557"/>
        <w:gridCol w:w="1712"/>
        <w:gridCol w:w="856"/>
        <w:gridCol w:w="831"/>
        <w:gridCol w:w="40"/>
      </w:tblGrid>
      <w:tr>
        <w:trPr/>
        <w:tc>
          <w:tcPr>
            <w:tcW w:w="3246" w:type="dxa"/>
            <w:vMerge w:val="restart"/>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b/>
                <w:bCs/>
                <w:color w:val="003366"/>
                <w:sz w:val="26"/>
                <w:szCs w:val="26"/>
                <w:lang w:eastAsia="ru-RU"/>
              </w:rPr>
              <w:t>Коэффициент аккумуляции, ч</w:t>
            </w:r>
          </w:p>
        </w:tc>
        <w:tc>
          <w:tcPr>
            <w:tcW w:w="6099" w:type="dxa"/>
            <w:gridSpan w:val="5"/>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b/>
                <w:bCs/>
                <w:color w:val="003366"/>
                <w:sz w:val="26"/>
                <w:szCs w:val="26"/>
                <w:lang w:eastAsia="ru-RU"/>
              </w:rPr>
              <w:t>Темп падения температуры, °С/ч, при температуре наружного воздуха, °С</w:t>
            </w:r>
          </w:p>
        </w:tc>
        <w:tc>
          <w:tcPr>
            <w:tcW w:w="40" w:type="dxa"/>
            <w:tcBorders>
              <w:top w:val="double" w:sz="2" w:space="0" w:color="00000A"/>
              <w:left w:val="double" w:sz="2" w:space="0" w:color="00000A"/>
              <w:bottom w:val="double" w:sz="2" w:space="0" w:color="00000A"/>
              <w:right w:val="double" w:sz="2" w:space="0" w:color="00000A"/>
            </w:tcBorders>
            <w:shd w:color="auto" w:fill="auto" w:val="clear"/>
            <w:tcMar>
              <w:left w:w="0" w:type="dxa"/>
              <w:right w:w="10" w:type="dxa"/>
            </w:tcMar>
          </w:tcPr>
          <w:p>
            <w:pPr>
              <w:pStyle w:val="Normal"/>
              <w:widowControl w:val="false"/>
              <w:rPr>
                <w:sz w:val="26"/>
                <w:szCs w:val="26"/>
              </w:rPr>
            </w:pPr>
            <w:r>
              <w:rPr>
                <w:sz w:val="26"/>
                <w:szCs w:val="26"/>
              </w:rPr>
            </w:r>
          </w:p>
        </w:tc>
      </w:tr>
      <w:tr>
        <w:trPr/>
        <w:tc>
          <w:tcPr>
            <w:tcW w:w="3246" w:type="dxa"/>
            <w:vMerge w:val="continue"/>
            <w:tcBorders>
              <w:top w:val="double" w:sz="2" w:space="0" w:color="00000A"/>
              <w:left w:val="double" w:sz="2" w:space="0" w:color="00000A"/>
              <w:bottom w:val="double" w:sz="2" w:space="0" w:color="00000A"/>
              <w:right w:val="double" w:sz="2" w:space="0" w:color="00000A"/>
            </w:tcBorders>
            <w:shd w:color="auto" w:fill="auto" w:val="clear"/>
          </w:tcPr>
          <w:p>
            <w:pPr>
              <w:pStyle w:val="Normal"/>
              <w:widowControl w:val="false"/>
              <w:rPr>
                <w:sz w:val="26"/>
                <w:szCs w:val="26"/>
              </w:rPr>
            </w:pPr>
            <w:r>
              <w:rPr>
                <w:sz w:val="26"/>
                <w:szCs w:val="26"/>
              </w:rPr>
            </w:r>
          </w:p>
        </w:tc>
        <w:tc>
          <w:tcPr>
            <w:tcW w:w="1143"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b/>
                <w:bCs/>
                <w:color w:val="003366"/>
                <w:sz w:val="26"/>
                <w:szCs w:val="26"/>
                <w:lang w:eastAsia="ru-RU"/>
              </w:rPr>
              <w:t>±0</w:t>
            </w:r>
          </w:p>
        </w:tc>
        <w:tc>
          <w:tcPr>
            <w:tcW w:w="1557"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b/>
                <w:bCs/>
                <w:color w:val="003366"/>
                <w:sz w:val="26"/>
                <w:szCs w:val="26"/>
                <w:lang w:eastAsia="ru-RU"/>
              </w:rPr>
              <w:t>-10</w:t>
            </w:r>
          </w:p>
        </w:tc>
        <w:tc>
          <w:tcPr>
            <w:tcW w:w="171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b/>
                <w:bCs/>
                <w:color w:val="003366"/>
                <w:sz w:val="26"/>
                <w:szCs w:val="26"/>
                <w:lang w:eastAsia="ru-RU"/>
              </w:rPr>
              <w:t>-20</w:t>
            </w:r>
          </w:p>
        </w:tc>
        <w:tc>
          <w:tcPr>
            <w:tcW w:w="856" w:type="dxa"/>
            <w:tcBorders>
              <w:top w:val="double" w:sz="2" w:space="0" w:color="00000A"/>
              <w:left w:val="double" w:sz="2" w:space="0" w:color="00000A"/>
              <w:bottom w:val="double" w:sz="2" w:space="0" w:color="00000A"/>
              <w:right w:val="double" w:sz="2" w:space="0" w:color="00000A"/>
            </w:tcBorders>
            <w:shd w:color="auto" w:fill="auto" w:val="clear"/>
            <w:tcMar>
              <w:left w:w="0" w:type="dxa"/>
              <w:right w:w="10" w:type="dxa"/>
            </w:tcMar>
          </w:tcPr>
          <w:p>
            <w:pPr>
              <w:pStyle w:val="Standard"/>
              <w:widowControl w:val="false"/>
              <w:jc w:val="center"/>
              <w:rPr>
                <w:sz w:val="26"/>
                <w:szCs w:val="26"/>
              </w:rPr>
            </w:pPr>
            <w:r>
              <w:rPr>
                <w:sz w:val="26"/>
                <w:szCs w:val="26"/>
              </w:rPr>
              <w:t>-33</w:t>
            </w:r>
          </w:p>
        </w:tc>
        <w:tc>
          <w:tcPr>
            <w:tcW w:w="871" w:type="dxa"/>
            <w:gridSpan w:val="2"/>
            <w:tcBorders>
              <w:top w:val="double" w:sz="2" w:space="0" w:color="00000A"/>
              <w:left w:val="double" w:sz="2" w:space="0" w:color="00000A"/>
              <w:bottom w:val="double" w:sz="2" w:space="0" w:color="00000A"/>
              <w:right w:val="double" w:sz="2" w:space="0" w:color="00000A"/>
            </w:tcBorders>
            <w:shd w:color="auto" w:fill="auto" w:val="clear"/>
            <w:tcMar>
              <w:left w:w="0" w:type="dxa"/>
              <w:right w:w="10" w:type="dxa"/>
            </w:tcMar>
          </w:tcPr>
          <w:p>
            <w:pPr>
              <w:pStyle w:val="Standard"/>
              <w:widowControl w:val="false"/>
              <w:jc w:val="center"/>
              <w:rPr>
                <w:sz w:val="26"/>
                <w:szCs w:val="26"/>
              </w:rPr>
            </w:pPr>
            <w:r>
              <w:rPr>
                <w:sz w:val="26"/>
                <w:szCs w:val="26"/>
              </w:rPr>
              <w:t>-40</w:t>
            </w:r>
          </w:p>
        </w:tc>
      </w:tr>
      <w:tr>
        <w:trPr/>
        <w:tc>
          <w:tcPr>
            <w:tcW w:w="3246"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sz w:val="26"/>
                <w:szCs w:val="26"/>
                <w:lang w:eastAsia="ru-RU"/>
              </w:rPr>
              <w:t>20</w:t>
            </w:r>
          </w:p>
        </w:tc>
        <w:tc>
          <w:tcPr>
            <w:tcW w:w="1143"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sz w:val="26"/>
                <w:szCs w:val="26"/>
                <w:lang w:eastAsia="ru-RU"/>
              </w:rPr>
              <w:t>0,8</w:t>
            </w:r>
          </w:p>
        </w:tc>
        <w:tc>
          <w:tcPr>
            <w:tcW w:w="1557"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sz w:val="26"/>
                <w:szCs w:val="26"/>
                <w:lang w:eastAsia="ru-RU"/>
              </w:rPr>
              <w:t>1,4</w:t>
            </w:r>
          </w:p>
        </w:tc>
        <w:tc>
          <w:tcPr>
            <w:tcW w:w="171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sz w:val="26"/>
                <w:szCs w:val="26"/>
                <w:lang w:eastAsia="ru-RU"/>
              </w:rPr>
              <w:t>1,8</w:t>
            </w:r>
          </w:p>
        </w:tc>
        <w:tc>
          <w:tcPr>
            <w:tcW w:w="856" w:type="dxa"/>
            <w:tcBorders>
              <w:top w:val="double" w:sz="2" w:space="0" w:color="00000A"/>
              <w:left w:val="double" w:sz="2" w:space="0" w:color="00000A"/>
              <w:bottom w:val="double" w:sz="2" w:space="0" w:color="00000A"/>
              <w:right w:val="double" w:sz="2" w:space="0" w:color="00000A"/>
            </w:tcBorders>
            <w:shd w:color="auto" w:fill="auto" w:val="clear"/>
            <w:tcMar>
              <w:left w:w="0" w:type="dxa"/>
              <w:right w:w="10" w:type="dxa"/>
            </w:tcMar>
          </w:tcPr>
          <w:p>
            <w:pPr>
              <w:pStyle w:val="Standard"/>
              <w:widowControl w:val="false"/>
              <w:jc w:val="center"/>
              <w:rPr>
                <w:sz w:val="26"/>
                <w:szCs w:val="26"/>
              </w:rPr>
            </w:pPr>
            <w:r>
              <w:rPr>
                <w:sz w:val="26"/>
                <w:szCs w:val="26"/>
              </w:rPr>
              <w:t>2,46</w:t>
            </w:r>
          </w:p>
        </w:tc>
        <w:tc>
          <w:tcPr>
            <w:tcW w:w="871" w:type="dxa"/>
            <w:gridSpan w:val="2"/>
            <w:tcBorders>
              <w:top w:val="double" w:sz="2" w:space="0" w:color="00000A"/>
              <w:left w:val="double" w:sz="2" w:space="0" w:color="00000A"/>
              <w:bottom w:val="double" w:sz="2" w:space="0" w:color="00000A"/>
              <w:right w:val="double" w:sz="2" w:space="0" w:color="00000A"/>
            </w:tcBorders>
            <w:shd w:color="auto" w:fill="auto" w:val="clear"/>
            <w:tcMar>
              <w:left w:w="0" w:type="dxa"/>
              <w:right w:w="10" w:type="dxa"/>
            </w:tcMar>
          </w:tcPr>
          <w:p>
            <w:pPr>
              <w:pStyle w:val="Standard"/>
              <w:widowControl w:val="false"/>
              <w:jc w:val="center"/>
              <w:rPr>
                <w:sz w:val="26"/>
                <w:szCs w:val="26"/>
              </w:rPr>
            </w:pPr>
            <w:r>
              <w:rPr>
                <w:sz w:val="26"/>
                <w:szCs w:val="26"/>
              </w:rPr>
              <w:t>2,58</w:t>
            </w:r>
          </w:p>
        </w:tc>
      </w:tr>
      <w:tr>
        <w:trPr/>
        <w:tc>
          <w:tcPr>
            <w:tcW w:w="3246"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sz w:val="26"/>
                <w:szCs w:val="26"/>
                <w:lang w:eastAsia="ru-RU"/>
              </w:rPr>
              <w:t>40</w:t>
            </w:r>
          </w:p>
        </w:tc>
        <w:tc>
          <w:tcPr>
            <w:tcW w:w="1143"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sz w:val="26"/>
                <w:szCs w:val="26"/>
                <w:lang w:eastAsia="ru-RU"/>
              </w:rPr>
              <w:t>0,5</w:t>
            </w:r>
          </w:p>
        </w:tc>
        <w:tc>
          <w:tcPr>
            <w:tcW w:w="1557"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sz w:val="26"/>
                <w:szCs w:val="26"/>
                <w:lang w:eastAsia="ru-RU"/>
              </w:rPr>
              <w:t>0,8</w:t>
            </w:r>
          </w:p>
        </w:tc>
        <w:tc>
          <w:tcPr>
            <w:tcW w:w="171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sz w:val="26"/>
                <w:szCs w:val="26"/>
                <w:lang w:eastAsia="ru-RU"/>
              </w:rPr>
              <w:t>1,1</w:t>
            </w:r>
          </w:p>
        </w:tc>
        <w:tc>
          <w:tcPr>
            <w:tcW w:w="856" w:type="dxa"/>
            <w:tcBorders>
              <w:top w:val="double" w:sz="2" w:space="0" w:color="00000A"/>
              <w:left w:val="double" w:sz="2" w:space="0" w:color="00000A"/>
              <w:bottom w:val="double" w:sz="2" w:space="0" w:color="00000A"/>
              <w:right w:val="double" w:sz="2" w:space="0" w:color="00000A"/>
            </w:tcBorders>
            <w:shd w:color="auto" w:fill="auto" w:val="clear"/>
            <w:tcMar>
              <w:left w:w="0" w:type="dxa"/>
              <w:right w:w="10" w:type="dxa"/>
            </w:tcMar>
          </w:tcPr>
          <w:p>
            <w:pPr>
              <w:pStyle w:val="Standard"/>
              <w:widowControl w:val="false"/>
              <w:jc w:val="center"/>
              <w:rPr>
                <w:sz w:val="26"/>
                <w:szCs w:val="26"/>
              </w:rPr>
            </w:pPr>
            <w:r>
              <w:rPr>
                <w:sz w:val="26"/>
                <w:szCs w:val="26"/>
              </w:rPr>
              <w:t>1,54</w:t>
            </w:r>
          </w:p>
        </w:tc>
        <w:tc>
          <w:tcPr>
            <w:tcW w:w="871" w:type="dxa"/>
            <w:gridSpan w:val="2"/>
            <w:tcBorders>
              <w:top w:val="double" w:sz="2" w:space="0" w:color="00000A"/>
              <w:left w:val="double" w:sz="2" w:space="0" w:color="00000A"/>
              <w:bottom w:val="double" w:sz="2" w:space="0" w:color="00000A"/>
              <w:right w:val="double" w:sz="2" w:space="0" w:color="00000A"/>
            </w:tcBorders>
            <w:shd w:color="auto" w:fill="auto" w:val="clear"/>
            <w:tcMar>
              <w:left w:w="0" w:type="dxa"/>
              <w:right w:w="10" w:type="dxa"/>
            </w:tcMar>
          </w:tcPr>
          <w:p>
            <w:pPr>
              <w:pStyle w:val="Standard"/>
              <w:widowControl w:val="false"/>
              <w:jc w:val="center"/>
              <w:rPr>
                <w:sz w:val="26"/>
                <w:szCs w:val="26"/>
              </w:rPr>
            </w:pPr>
            <w:r>
              <w:rPr>
                <w:sz w:val="26"/>
                <w:szCs w:val="26"/>
              </w:rPr>
              <w:t>1,62</w:t>
            </w:r>
          </w:p>
        </w:tc>
      </w:tr>
      <w:tr>
        <w:trPr/>
        <w:tc>
          <w:tcPr>
            <w:tcW w:w="3246"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sz w:val="26"/>
                <w:szCs w:val="26"/>
                <w:lang w:eastAsia="ru-RU"/>
              </w:rPr>
              <w:t>60</w:t>
            </w:r>
          </w:p>
        </w:tc>
        <w:tc>
          <w:tcPr>
            <w:tcW w:w="1143"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sz w:val="26"/>
                <w:szCs w:val="26"/>
                <w:lang w:eastAsia="ru-RU"/>
              </w:rPr>
              <w:t>0,4</w:t>
            </w:r>
          </w:p>
        </w:tc>
        <w:tc>
          <w:tcPr>
            <w:tcW w:w="1557"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sz w:val="26"/>
                <w:szCs w:val="26"/>
                <w:lang w:eastAsia="ru-RU"/>
              </w:rPr>
              <w:t>0,6</w:t>
            </w:r>
          </w:p>
        </w:tc>
        <w:tc>
          <w:tcPr>
            <w:tcW w:w="171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sz w:val="26"/>
                <w:szCs w:val="26"/>
                <w:lang w:eastAsia="ru-RU"/>
              </w:rPr>
              <w:t>0,8</w:t>
            </w:r>
          </w:p>
        </w:tc>
        <w:tc>
          <w:tcPr>
            <w:tcW w:w="856" w:type="dxa"/>
            <w:tcBorders>
              <w:top w:val="double" w:sz="2" w:space="0" w:color="00000A"/>
              <w:left w:val="double" w:sz="2" w:space="0" w:color="00000A"/>
              <w:bottom w:val="double" w:sz="2" w:space="0" w:color="00000A"/>
              <w:right w:val="double" w:sz="2" w:space="0" w:color="00000A"/>
            </w:tcBorders>
            <w:shd w:color="auto" w:fill="auto" w:val="clear"/>
            <w:tcMar>
              <w:left w:w="0" w:type="dxa"/>
              <w:right w:w="10" w:type="dxa"/>
            </w:tcMar>
          </w:tcPr>
          <w:p>
            <w:pPr>
              <w:pStyle w:val="Standard"/>
              <w:widowControl w:val="false"/>
              <w:jc w:val="center"/>
              <w:rPr>
                <w:sz w:val="26"/>
                <w:szCs w:val="26"/>
              </w:rPr>
            </w:pPr>
            <w:r>
              <w:rPr>
                <w:sz w:val="26"/>
                <w:szCs w:val="26"/>
              </w:rPr>
              <w:t>1,02</w:t>
            </w:r>
          </w:p>
        </w:tc>
        <w:tc>
          <w:tcPr>
            <w:tcW w:w="871" w:type="dxa"/>
            <w:gridSpan w:val="2"/>
            <w:tcBorders>
              <w:top w:val="double" w:sz="2" w:space="0" w:color="00000A"/>
              <w:left w:val="double" w:sz="2" w:space="0" w:color="00000A"/>
              <w:bottom w:val="double" w:sz="2" w:space="0" w:color="00000A"/>
              <w:right w:val="double" w:sz="2" w:space="0" w:color="00000A"/>
            </w:tcBorders>
            <w:shd w:color="auto" w:fill="auto" w:val="clear"/>
            <w:tcMar>
              <w:left w:w="0" w:type="dxa"/>
              <w:right w:w="10" w:type="dxa"/>
            </w:tcMar>
          </w:tcPr>
          <w:p>
            <w:pPr>
              <w:pStyle w:val="Standard"/>
              <w:widowControl w:val="false"/>
              <w:jc w:val="center"/>
              <w:rPr>
                <w:sz w:val="26"/>
                <w:szCs w:val="26"/>
              </w:rPr>
            </w:pPr>
            <w:r>
              <w:rPr>
                <w:sz w:val="26"/>
                <w:szCs w:val="26"/>
              </w:rPr>
              <w:t>1,06</w:t>
            </w:r>
          </w:p>
        </w:tc>
      </w:tr>
    </w:tbl>
    <w:p>
      <w:pPr>
        <w:pStyle w:val="Normal"/>
        <w:rPr>
          <w:sz w:val="26"/>
          <w:szCs w:val="26"/>
        </w:rPr>
      </w:pPr>
      <w:r>
        <w:rPr>
          <w:sz w:val="26"/>
          <w:szCs w:val="26"/>
        </w:rPr>
      </w:r>
    </w:p>
    <w:p>
      <w:pPr>
        <w:pStyle w:val="Standard"/>
        <w:spacing w:before="100" w:after="100"/>
        <w:rPr>
          <w:sz w:val="26"/>
          <w:szCs w:val="26"/>
        </w:rPr>
      </w:pPr>
      <w:r>
        <w:rPr>
          <w:rFonts w:eastAsia="Times New Roman" w:cs="Times New Roman" w:ascii="Times New Roman" w:hAnsi="Times New Roman"/>
          <w:sz w:val="26"/>
          <w:szCs w:val="26"/>
          <w:lang w:eastAsia="ru-RU"/>
        </w:rPr>
        <w:t>Коэффициент аккумуляции характеризует величину тепловой аккумуляции зданий и зависит от толщины стен, коэффициента теплопередачи и коэффициента остекления. Коэффициенты аккумуляции теплоты для жилых и промышленных зданий массового строительства приведены в табл. 3.</w:t>
      </w:r>
    </w:p>
    <w:p>
      <w:pPr>
        <w:pStyle w:val="Standard"/>
        <w:spacing w:before="100" w:after="100"/>
        <w:rPr>
          <w:sz w:val="26"/>
          <w:szCs w:val="26"/>
        </w:rPr>
      </w:pPr>
      <w:r>
        <w:rPr>
          <w:rFonts w:eastAsia="Times New Roman" w:cs="Times New Roman" w:ascii="Times New Roman" w:hAnsi="Times New Roman"/>
          <w:b/>
          <w:bCs/>
          <w:color w:val="808000"/>
          <w:sz w:val="26"/>
          <w:szCs w:val="26"/>
          <w:lang w:eastAsia="ru-RU"/>
        </w:rPr>
        <w:t>Таблица 3.</w:t>
      </w:r>
      <w:r>
        <w:rPr>
          <w:rFonts w:eastAsia="Times New Roman" w:cs="Times New Roman" w:ascii="Times New Roman" w:hAnsi="Times New Roman"/>
          <w:b/>
          <w:bCs/>
          <w:sz w:val="26"/>
          <w:szCs w:val="26"/>
          <w:lang w:eastAsia="ru-RU"/>
        </w:rPr>
        <w:t xml:space="preserve"> Коэффициенты аккумуляции для зданий типового строительства</w:t>
      </w:r>
    </w:p>
    <w:tbl>
      <w:tblPr>
        <w:tblW w:w="9385" w:type="dxa"/>
        <w:jc w:val="left"/>
        <w:tblInd w:w="-11" w:type="dxa"/>
        <w:tblLayout w:type="fixed"/>
        <w:tblCellMar>
          <w:top w:w="0" w:type="dxa"/>
          <w:left w:w="7" w:type="dxa"/>
          <w:bottom w:w="0" w:type="dxa"/>
          <w:right w:w="7" w:type="dxa"/>
        </w:tblCellMar>
        <w:tblLook w:val="04a0"/>
      </w:tblPr>
      <w:tblGrid>
        <w:gridCol w:w="4837"/>
        <w:gridCol w:w="2258"/>
        <w:gridCol w:w="2290"/>
      </w:tblGrid>
      <w:tr>
        <w:trPr/>
        <w:tc>
          <w:tcPr>
            <w:tcW w:w="4837"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b/>
                <w:bCs/>
                <w:color w:val="003366"/>
                <w:sz w:val="26"/>
                <w:szCs w:val="26"/>
                <w:lang w:eastAsia="ru-RU"/>
              </w:rPr>
              <w:t>Характеристика зданий</w:t>
            </w:r>
          </w:p>
        </w:tc>
        <w:tc>
          <w:tcPr>
            <w:tcW w:w="2258"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b/>
                <w:bCs/>
                <w:color w:val="003366"/>
                <w:sz w:val="26"/>
                <w:szCs w:val="26"/>
                <w:lang w:eastAsia="ru-RU"/>
              </w:rPr>
              <w:t>Помещения</w:t>
            </w:r>
          </w:p>
        </w:tc>
        <w:tc>
          <w:tcPr>
            <w:tcW w:w="229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b/>
                <w:bCs/>
                <w:color w:val="003366"/>
                <w:sz w:val="26"/>
                <w:szCs w:val="26"/>
                <w:lang w:eastAsia="ru-RU"/>
              </w:rPr>
              <w:t>Коэффициент аккумуляции, ч</w:t>
            </w:r>
          </w:p>
        </w:tc>
      </w:tr>
      <w:tr>
        <w:trPr/>
        <w:tc>
          <w:tcPr>
            <w:tcW w:w="4837"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b/>
                <w:bCs/>
                <w:color w:val="003366"/>
                <w:sz w:val="26"/>
                <w:szCs w:val="26"/>
                <w:lang w:eastAsia="ru-RU"/>
              </w:rPr>
              <w:t>1</w:t>
            </w:r>
          </w:p>
        </w:tc>
        <w:tc>
          <w:tcPr>
            <w:tcW w:w="2258"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b/>
                <w:bCs/>
                <w:color w:val="003366"/>
                <w:sz w:val="26"/>
                <w:szCs w:val="26"/>
                <w:lang w:eastAsia="ru-RU"/>
              </w:rPr>
              <w:t>2</w:t>
            </w:r>
          </w:p>
        </w:tc>
        <w:tc>
          <w:tcPr>
            <w:tcW w:w="229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b/>
                <w:bCs/>
                <w:color w:val="003366"/>
                <w:sz w:val="26"/>
                <w:szCs w:val="26"/>
                <w:lang w:eastAsia="ru-RU"/>
              </w:rPr>
              <w:t>3</w:t>
            </w:r>
          </w:p>
        </w:tc>
      </w:tr>
      <w:tr>
        <w:trPr/>
        <w:tc>
          <w:tcPr>
            <w:tcW w:w="4837" w:type="dxa"/>
            <w:vMerge w:val="restart"/>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1. Крупнопанельный дом серии 1-605А с трехслойными наружными стенами, с утепленными минераловатными плитами с железобетонными фактурными слоями (толщина стены 21 см, из них толщина утеплителя 12 см)</w:t>
            </w:r>
          </w:p>
        </w:tc>
        <w:tc>
          <w:tcPr>
            <w:tcW w:w="2258"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Угловые:</w:t>
            </w:r>
          </w:p>
        </w:tc>
        <w:tc>
          <w:tcPr>
            <w:tcW w:w="229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4837"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sz w:val="26"/>
                <w:szCs w:val="26"/>
              </w:rPr>
            </w:pPr>
            <w:r>
              <w:rPr>
                <w:sz w:val="26"/>
                <w:szCs w:val="26"/>
              </w:rPr>
            </w:r>
          </w:p>
        </w:tc>
        <w:tc>
          <w:tcPr>
            <w:tcW w:w="2258"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верхнего этажа</w:t>
            </w:r>
          </w:p>
        </w:tc>
        <w:tc>
          <w:tcPr>
            <w:tcW w:w="229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42</w:t>
            </w:r>
          </w:p>
        </w:tc>
      </w:tr>
      <w:tr>
        <w:trPr/>
        <w:tc>
          <w:tcPr>
            <w:tcW w:w="4837"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sz w:val="26"/>
                <w:szCs w:val="26"/>
              </w:rPr>
            </w:pPr>
            <w:r>
              <w:rPr>
                <w:sz w:val="26"/>
                <w:szCs w:val="26"/>
              </w:rPr>
            </w:r>
          </w:p>
        </w:tc>
        <w:tc>
          <w:tcPr>
            <w:tcW w:w="2258"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среднего и первого этажей</w:t>
            </w:r>
          </w:p>
        </w:tc>
        <w:tc>
          <w:tcPr>
            <w:tcW w:w="229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46</w:t>
            </w:r>
          </w:p>
        </w:tc>
      </w:tr>
      <w:tr>
        <w:trPr>
          <w:trHeight w:val="1245" w:hRule="atLeast"/>
        </w:trPr>
        <w:tc>
          <w:tcPr>
            <w:tcW w:w="4837"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sz w:val="26"/>
                <w:szCs w:val="26"/>
              </w:rPr>
            </w:pPr>
            <w:r>
              <w:rPr>
                <w:sz w:val="26"/>
                <w:szCs w:val="26"/>
              </w:rPr>
            </w:r>
          </w:p>
        </w:tc>
        <w:tc>
          <w:tcPr>
            <w:tcW w:w="2258"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средние</w:t>
            </w:r>
          </w:p>
        </w:tc>
        <w:tc>
          <w:tcPr>
            <w:tcW w:w="229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77</w:t>
            </w:r>
          </w:p>
        </w:tc>
      </w:tr>
      <w:tr>
        <w:trPr/>
        <w:tc>
          <w:tcPr>
            <w:tcW w:w="4837" w:type="dxa"/>
            <w:vMerge w:val="restart"/>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2. Крупнопанельный жилой дом серии К7-3 (конструкции инж. Лагутенко) с наружными стенами толщиной 16 см, с утепленными минераловатными плитами с железобетонными фактурными слоями</w:t>
            </w:r>
          </w:p>
        </w:tc>
        <w:tc>
          <w:tcPr>
            <w:tcW w:w="2258"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Угловые:</w:t>
            </w:r>
          </w:p>
        </w:tc>
        <w:tc>
          <w:tcPr>
            <w:tcW w:w="229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4837"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sz w:val="26"/>
                <w:szCs w:val="26"/>
              </w:rPr>
            </w:pPr>
            <w:r>
              <w:rPr>
                <w:sz w:val="26"/>
                <w:szCs w:val="26"/>
              </w:rPr>
            </w:r>
          </w:p>
        </w:tc>
        <w:tc>
          <w:tcPr>
            <w:tcW w:w="2258"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верхнего этажа</w:t>
            </w:r>
          </w:p>
        </w:tc>
        <w:tc>
          <w:tcPr>
            <w:tcW w:w="229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32</w:t>
            </w:r>
          </w:p>
        </w:tc>
      </w:tr>
      <w:tr>
        <w:trPr/>
        <w:tc>
          <w:tcPr>
            <w:tcW w:w="4837"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sz w:val="26"/>
                <w:szCs w:val="26"/>
              </w:rPr>
            </w:pPr>
            <w:r>
              <w:rPr>
                <w:sz w:val="26"/>
                <w:szCs w:val="26"/>
              </w:rPr>
            </w:r>
          </w:p>
        </w:tc>
        <w:tc>
          <w:tcPr>
            <w:tcW w:w="2258"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среднего этажа</w:t>
            </w:r>
          </w:p>
        </w:tc>
        <w:tc>
          <w:tcPr>
            <w:tcW w:w="229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40</w:t>
            </w:r>
          </w:p>
        </w:tc>
      </w:tr>
      <w:tr>
        <w:trPr>
          <w:trHeight w:val="1047" w:hRule="atLeast"/>
        </w:trPr>
        <w:tc>
          <w:tcPr>
            <w:tcW w:w="4837"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sz w:val="26"/>
                <w:szCs w:val="26"/>
              </w:rPr>
            </w:pPr>
            <w:r>
              <w:rPr>
                <w:sz w:val="26"/>
                <w:szCs w:val="26"/>
              </w:rPr>
            </w:r>
          </w:p>
        </w:tc>
        <w:tc>
          <w:tcPr>
            <w:tcW w:w="2258"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средние</w:t>
            </w:r>
          </w:p>
        </w:tc>
        <w:tc>
          <w:tcPr>
            <w:tcW w:w="229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51</w:t>
            </w:r>
          </w:p>
        </w:tc>
      </w:tr>
      <w:tr>
        <w:trPr/>
        <w:tc>
          <w:tcPr>
            <w:tcW w:w="4837"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3. Дом из объемных элементов с наружными ограждениями из железобетонных вибропрокатных элементов, утепленных минераловатными плитами. Толщина наружной стены 22 см, толщина слоя утеплителя в зоне стыкования с ребрами 5 см, между ребрами 7 см. Общая толщина железобетонных элементов между ребрами 30-40 мм</w:t>
            </w:r>
          </w:p>
        </w:tc>
        <w:tc>
          <w:tcPr>
            <w:tcW w:w="2258"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Угловые верхнего этажа</w:t>
            </w:r>
          </w:p>
        </w:tc>
        <w:tc>
          <w:tcPr>
            <w:tcW w:w="229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40</w:t>
            </w:r>
          </w:p>
        </w:tc>
      </w:tr>
      <w:tr>
        <w:trPr/>
        <w:tc>
          <w:tcPr>
            <w:tcW w:w="4837" w:type="dxa"/>
            <w:vMerge w:val="restart"/>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4. Кирпичные жилые здания с толщиной стен в 2,5 кирпича и коэффициентом остекления 0,18-0,25</w:t>
            </w:r>
          </w:p>
        </w:tc>
        <w:tc>
          <w:tcPr>
            <w:tcW w:w="2258"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Угловые</w:t>
            </w:r>
          </w:p>
        </w:tc>
        <w:tc>
          <w:tcPr>
            <w:tcW w:w="229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65-60</w:t>
            </w:r>
          </w:p>
        </w:tc>
      </w:tr>
      <w:tr>
        <w:trPr/>
        <w:tc>
          <w:tcPr>
            <w:tcW w:w="4837"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sz w:val="26"/>
                <w:szCs w:val="26"/>
              </w:rPr>
            </w:pPr>
            <w:r>
              <w:rPr>
                <w:sz w:val="26"/>
                <w:szCs w:val="26"/>
              </w:rPr>
            </w:r>
          </w:p>
        </w:tc>
        <w:tc>
          <w:tcPr>
            <w:tcW w:w="2258"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Средние</w:t>
            </w:r>
          </w:p>
        </w:tc>
        <w:tc>
          <w:tcPr>
            <w:tcW w:w="229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100-65</w:t>
            </w:r>
          </w:p>
        </w:tc>
      </w:tr>
      <w:tr>
        <w:trPr/>
        <w:tc>
          <w:tcPr>
            <w:tcW w:w="4837"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5. Промышленные здания с незначительными внутренними тепловыделениями (стены в 2 кирпича, коэффициент остекления 0,15-0,3)</w:t>
            </w:r>
          </w:p>
        </w:tc>
        <w:tc>
          <w:tcPr>
            <w:tcW w:w="2258"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snapToGrid w:val="false"/>
              <w:rPr>
                <w:rFonts w:ascii="Times New Roman" w:hAnsi="Times New Roman" w:cs="Times New Roman"/>
                <w:sz w:val="26"/>
                <w:szCs w:val="26"/>
              </w:rPr>
            </w:pPr>
            <w:r>
              <w:rPr>
                <w:rFonts w:cs="Times New Roman" w:ascii="Times New Roman" w:hAnsi="Times New Roman"/>
                <w:sz w:val="26"/>
                <w:szCs w:val="26"/>
              </w:rPr>
            </w:r>
          </w:p>
        </w:tc>
        <w:tc>
          <w:tcPr>
            <w:tcW w:w="229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sz w:val="26"/>
                <w:szCs w:val="26"/>
                <w:lang w:eastAsia="ru-RU"/>
              </w:rPr>
              <w:t>25-14</w:t>
            </w:r>
          </w:p>
        </w:tc>
      </w:tr>
    </w:tbl>
    <w:p>
      <w:pPr>
        <w:pStyle w:val="Standard"/>
        <w:spacing w:before="100" w:after="100"/>
        <w:rPr>
          <w:sz w:val="26"/>
          <w:szCs w:val="26"/>
        </w:rPr>
      </w:pPr>
      <w:r>
        <w:rPr>
          <w:rFonts w:eastAsia="Times New Roman" w:cs="Times New Roman" w:ascii="Times New Roman" w:hAnsi="Times New Roman"/>
          <w:sz w:val="26"/>
          <w:szCs w:val="26"/>
          <w:lang w:eastAsia="ru-RU"/>
        </w:rPr>
        <w:t> </w:t>
      </w:r>
    </w:p>
    <w:p>
      <w:pPr>
        <w:pStyle w:val="Standard"/>
        <w:spacing w:before="100" w:after="100"/>
        <w:jc w:val="both"/>
        <w:rPr>
          <w:sz w:val="26"/>
          <w:szCs w:val="26"/>
        </w:rPr>
      </w:pPr>
      <w:r>
        <w:rPr>
          <w:rFonts w:eastAsia="Times New Roman" w:cs="Times New Roman" w:ascii="Times New Roman" w:hAnsi="Times New Roman"/>
          <w:sz w:val="26"/>
          <w:szCs w:val="26"/>
          <w:lang w:eastAsia="ru-RU"/>
        </w:rPr>
        <w:t>На основании приведенных данных можно оценить время, имеющееся для ликвидации аварии или принятия мер по предотвращению лавинообразного развития аварий, т.е. замерзания теплоносителя в системах отопления зданий, в которые прекращена подача теплоты.</w:t>
      </w:r>
    </w:p>
    <w:p>
      <w:pPr>
        <w:pStyle w:val="Standard"/>
        <w:spacing w:before="100" w:after="100"/>
        <w:jc w:val="both"/>
        <w:rPr>
          <w:sz w:val="26"/>
          <w:szCs w:val="26"/>
        </w:rPr>
      </w:pPr>
      <w:r>
        <w:rPr>
          <w:rFonts w:eastAsia="Times New Roman" w:cs="Times New Roman" w:ascii="Times New Roman" w:hAnsi="Times New Roman"/>
          <w:sz w:val="26"/>
          <w:szCs w:val="26"/>
          <w:lang w:eastAsia="ru-RU"/>
        </w:rPr>
        <w:t>Если в результате аварии отключено несколько зданий, то определение времени, имеющегося в распоряжении на ликвидацию аварии или принятия мер по предотвращению развития аварии, производится по зданию, имеющему наименьший коэффициент аккумуляции</w:t>
      </w:r>
    </w:p>
    <w:p>
      <w:pPr>
        <w:pStyle w:val="Standard"/>
        <w:spacing w:before="100" w:after="100"/>
        <w:jc w:val="both"/>
        <w:rPr>
          <w:sz w:val="26"/>
          <w:szCs w:val="26"/>
        </w:rPr>
      </w:pPr>
      <w:r>
        <w:rPr>
          <w:rFonts w:eastAsia="Times New Roman" w:cs="Times New Roman" w:ascii="Times New Roman" w:hAnsi="Times New Roman"/>
          <w:sz w:val="26"/>
          <w:szCs w:val="26"/>
          <w:lang w:eastAsia="ru-RU"/>
        </w:rPr>
        <w:t>Примечание : расчеты допустимого времени устранения аварий и восстановления теплоснабжения выполнены по методике, приведенной в Указаниях по повышению надежности систем коммунального теплоснабжения, разработанных АКХ им. К. Д. Памфилова и утвержденных ОАО «Роскоммунэнерго» 26.06.89, и в рекомендациях СНиП 41-02-2003.</w:t>
      </w:r>
    </w:p>
    <w:p>
      <w:pPr>
        <w:pStyle w:val="Normal"/>
        <w:spacing w:lineRule="auto" w:line="360"/>
        <w:ind w:left="142" w:hanging="142"/>
        <w:rPr>
          <w:sz w:val="26"/>
          <w:szCs w:val="26"/>
        </w:rPr>
      </w:pPr>
      <w:r>
        <w:rPr>
          <w:sz w:val="26"/>
          <w:szCs w:val="26"/>
        </w:rPr>
      </w:r>
    </w:p>
    <w:p>
      <w:pPr>
        <w:pStyle w:val="Standard"/>
        <w:jc w:val="center"/>
        <w:rPr>
          <w:sz w:val="26"/>
          <w:szCs w:val="26"/>
        </w:rPr>
      </w:pPr>
      <w:r>
        <w:rPr>
          <w:b/>
          <w:bCs/>
          <w:sz w:val="26"/>
          <w:szCs w:val="26"/>
        </w:rPr>
        <w:t xml:space="preserve">Раздел 14. Гидравлические испытания на тепловых сетях </w:t>
      </w:r>
    </w:p>
    <w:p>
      <w:pPr>
        <w:pStyle w:val="Standard"/>
        <w:jc w:val="center"/>
        <w:rPr>
          <w:sz w:val="26"/>
          <w:szCs w:val="26"/>
        </w:rPr>
      </w:pPr>
      <w:r>
        <w:rPr>
          <w:b/>
          <w:bCs/>
          <w:sz w:val="26"/>
          <w:szCs w:val="26"/>
        </w:rPr>
        <w:t>МКП «ЖКХ Усть-Абаканского района»</w:t>
      </w:r>
    </w:p>
    <w:p>
      <w:pPr>
        <w:pStyle w:val="Standard"/>
        <w:spacing w:lineRule="auto" w:line="360"/>
        <w:ind w:left="142" w:hanging="142"/>
        <w:jc w:val="center"/>
        <w:rPr>
          <w:b/>
          <w:b/>
          <w:bCs/>
          <w:sz w:val="26"/>
          <w:szCs w:val="26"/>
        </w:rPr>
      </w:pPr>
      <w:r>
        <w:rPr>
          <w:b/>
          <w:bCs/>
          <w:sz w:val="26"/>
          <w:szCs w:val="26"/>
        </w:rPr>
      </w:r>
    </w:p>
    <w:p>
      <w:pPr>
        <w:pStyle w:val="NormalWeb"/>
        <w:spacing w:before="33" w:after="33"/>
        <w:rPr>
          <w:sz w:val="26"/>
          <w:szCs w:val="26"/>
        </w:rPr>
      </w:pPr>
      <w:r>
        <w:rPr>
          <w:color w:val="000000"/>
          <w:sz w:val="26"/>
          <w:szCs w:val="26"/>
        </w:rPr>
        <w:t>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 (п. 5.1.6. Правил № 170).</w:t>
      </w:r>
    </w:p>
    <w:p>
      <w:pPr>
        <w:pStyle w:val="NormalWeb"/>
        <w:spacing w:before="33" w:after="33"/>
        <w:ind w:hanging="0"/>
        <w:jc w:val="both"/>
        <w:rPr>
          <w:sz w:val="26"/>
          <w:szCs w:val="26"/>
        </w:rPr>
      </w:pPr>
      <w:r>
        <w:rPr>
          <w:color w:val="000000"/>
          <w:sz w:val="26"/>
          <w:szCs w:val="26"/>
        </w:rPr>
        <w:tab/>
        <w:t>Комплексная программа проведения гидравлических испытаний разработана в соответствии с п. 20-22, п. 239-247 Правил технической эксплуатации объектов теплоснабжения и теплопотребляющих установок № 511 от 14.05.2025 года.</w:t>
      </w:r>
    </w:p>
    <w:p>
      <w:pPr>
        <w:pStyle w:val="NormalWeb"/>
        <w:spacing w:before="33" w:after="33"/>
        <w:ind w:hanging="0"/>
        <w:jc w:val="both"/>
        <w:rPr/>
      </w:pPr>
      <w:r>
        <w:rPr>
          <w:color w:val="000000"/>
          <w:sz w:val="26"/>
          <w:szCs w:val="26"/>
        </w:rPr>
        <w:tab/>
        <w:t>На предприятии МКП «ЖКХ Усть-Абаканского района» утверждены комплексные программы гидравлических испытаний тепловых сетей. Дата проведения гидравлических испытаний устанавливается распоряжением директора.</w:t>
      </w:r>
    </w:p>
    <w:p>
      <w:pPr>
        <w:pStyle w:val="21"/>
        <w:shd w:val="clear" w:color="auto" w:fill="auto"/>
        <w:spacing w:lineRule="exact" w:line="293"/>
        <w:ind w:left="2600" w:right="2780" w:firstLine="900"/>
        <w:jc w:val="center"/>
        <w:rPr>
          <w:sz w:val="26"/>
          <w:szCs w:val="26"/>
        </w:rPr>
      </w:pPr>
      <w:r>
        <w:rPr>
          <w:sz w:val="26"/>
          <w:szCs w:val="26"/>
        </w:rPr>
      </w:r>
    </w:p>
    <w:p>
      <w:pPr>
        <w:pStyle w:val="21"/>
        <w:shd w:val="clear" w:color="auto" w:fill="auto"/>
        <w:spacing w:lineRule="exact" w:line="293"/>
        <w:ind w:left="2600" w:right="2780" w:firstLine="900"/>
        <w:jc w:val="center"/>
        <w:rPr>
          <w:sz w:val="26"/>
          <w:szCs w:val="26"/>
        </w:rPr>
      </w:pPr>
      <w:r>
        <w:rPr>
          <w:sz w:val="26"/>
          <w:szCs w:val="26"/>
        </w:rPr>
      </w:r>
    </w:p>
    <w:p>
      <w:pPr>
        <w:pStyle w:val="21"/>
        <w:shd w:val="clear" w:color="auto" w:fill="auto"/>
        <w:spacing w:lineRule="exact" w:line="293"/>
        <w:ind w:left="2600" w:right="2780" w:firstLine="900"/>
        <w:jc w:val="center"/>
        <w:rPr>
          <w:sz w:val="26"/>
          <w:szCs w:val="26"/>
        </w:rPr>
      </w:pPr>
      <w:r>
        <w:rPr>
          <w:sz w:val="26"/>
          <w:szCs w:val="26"/>
        </w:rPr>
        <w:t>Комплексная программа</w:t>
        <w:br/>
        <w:t>проведения гидравлических испытаний</w:t>
        <w:br/>
        <w:t>внутриквартальных тепловых сетей</w:t>
        <w:br/>
        <w:t>котельной а.Доможаков</w:t>
      </w:r>
    </w:p>
    <w:p>
      <w:pPr>
        <w:pStyle w:val="21"/>
        <w:shd w:val="clear" w:color="auto" w:fill="auto"/>
        <w:spacing w:lineRule="exact" w:line="293"/>
        <w:ind w:left="2600" w:right="2780" w:firstLine="900"/>
        <w:jc w:val="center"/>
        <w:rPr>
          <w:sz w:val="26"/>
          <w:szCs w:val="26"/>
        </w:rPr>
      </w:pPr>
      <w:r>
        <w:rPr>
          <w:sz w:val="26"/>
          <w:szCs w:val="26"/>
        </w:rPr>
      </w:r>
    </w:p>
    <w:tbl>
      <w:tblPr>
        <w:tblW w:w="9402" w:type="dxa"/>
        <w:jc w:val="center"/>
        <w:tblInd w:w="0" w:type="dxa"/>
        <w:tblLayout w:type="fixed"/>
        <w:tblCellMar>
          <w:top w:w="0" w:type="dxa"/>
          <w:left w:w="5" w:type="dxa"/>
          <w:bottom w:w="0" w:type="dxa"/>
          <w:right w:w="10" w:type="dxa"/>
        </w:tblCellMar>
        <w:tblLook w:val="04a0"/>
      </w:tblPr>
      <w:tblGrid>
        <w:gridCol w:w="548"/>
        <w:gridCol w:w="5452"/>
        <w:gridCol w:w="1662"/>
        <w:gridCol w:w="1739"/>
      </w:tblGrid>
      <w:tr>
        <w:trPr>
          <w:trHeight w:val="509" w:hRule="exact"/>
        </w:trPr>
        <w:tc>
          <w:tcPr>
            <w:tcW w:w="548"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10" w:before="0" w:after="60"/>
              <w:ind w:left="140" w:hanging="0"/>
              <w:jc w:val="left"/>
              <w:rPr/>
            </w:pPr>
            <w:r>
              <w:rPr>
                <w:rStyle w:val="2105pt"/>
                <w:sz w:val="26"/>
                <w:szCs w:val="26"/>
              </w:rPr>
              <w:t>№</w:t>
            </w:r>
          </w:p>
          <w:p>
            <w:pPr>
              <w:pStyle w:val="21"/>
              <w:widowControl w:val="false"/>
              <w:shd w:val="clear" w:color="auto" w:fill="auto"/>
              <w:spacing w:lineRule="exact" w:line="210" w:before="60" w:after="0"/>
              <w:ind w:left="140" w:hanging="0"/>
              <w:jc w:val="left"/>
              <w:rPr/>
            </w:pPr>
            <w:r>
              <w:rPr>
                <w:rStyle w:val="2105pt"/>
                <w:sz w:val="26"/>
                <w:szCs w:val="26"/>
              </w:rPr>
              <w:t>п/п</w:t>
            </w:r>
          </w:p>
        </w:tc>
        <w:tc>
          <w:tcPr>
            <w:tcW w:w="5452" w:type="dxa"/>
            <w:tcBorders>
              <w:top w:val="single" w:sz="4" w:space="0" w:color="000000"/>
              <w:left w:val="single" w:sz="4" w:space="0" w:color="000000"/>
            </w:tcBorders>
            <w:shd w:color="auto" w:fill="FFFFFF" w:val="clear"/>
            <w:vAlign w:val="center"/>
          </w:tcPr>
          <w:p>
            <w:pPr>
              <w:pStyle w:val="21"/>
              <w:widowControl w:val="false"/>
              <w:shd w:val="clear" w:color="auto" w:fill="auto"/>
              <w:spacing w:lineRule="exact" w:line="210"/>
              <w:jc w:val="left"/>
              <w:rPr/>
            </w:pPr>
            <w:r>
              <w:rPr>
                <w:rStyle w:val="2105pt"/>
                <w:sz w:val="26"/>
                <w:szCs w:val="26"/>
              </w:rPr>
              <w:t>Перечень работ</w:t>
            </w:r>
          </w:p>
        </w:tc>
        <w:tc>
          <w:tcPr>
            <w:tcW w:w="1662"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26"/>
              <w:ind w:hanging="0"/>
              <w:jc w:val="left"/>
              <w:rPr/>
            </w:pPr>
            <w:r>
              <w:rPr>
                <w:rStyle w:val="2105pt"/>
                <w:sz w:val="26"/>
                <w:szCs w:val="26"/>
              </w:rPr>
              <w:t>Начало и</w:t>
              <w:br/>
              <w:t>окончание</w:t>
            </w:r>
          </w:p>
        </w:tc>
        <w:tc>
          <w:tcPr>
            <w:tcW w:w="1739" w:type="dxa"/>
            <w:tcBorders>
              <w:top w:val="single" w:sz="4" w:space="0" w:color="000000"/>
              <w:left w:val="single" w:sz="4" w:space="0" w:color="000000"/>
              <w:right w:val="single" w:sz="4" w:space="0" w:color="000000"/>
            </w:tcBorders>
            <w:shd w:color="auto" w:fill="FFFFFF" w:val="clear"/>
            <w:vAlign w:val="center"/>
          </w:tcPr>
          <w:p>
            <w:pPr>
              <w:pStyle w:val="21"/>
              <w:widowControl w:val="false"/>
              <w:shd w:val="clear" w:color="auto" w:fill="auto"/>
              <w:spacing w:lineRule="exact" w:line="210"/>
              <w:ind w:hanging="0"/>
              <w:rPr/>
            </w:pPr>
            <w:r>
              <w:rPr>
                <w:rStyle w:val="2105pt"/>
                <w:sz w:val="26"/>
                <w:szCs w:val="26"/>
              </w:rPr>
              <w:t>Исполнитель</w:t>
            </w:r>
          </w:p>
        </w:tc>
      </w:tr>
      <w:tr>
        <w:trPr>
          <w:trHeight w:val="240" w:hRule="exact"/>
        </w:trPr>
        <w:tc>
          <w:tcPr>
            <w:tcW w:w="548" w:type="dxa"/>
            <w:tcBorders>
              <w:top w:val="single" w:sz="4" w:space="0" w:color="000000"/>
              <w:left w:val="single" w:sz="4" w:space="0" w:color="000000"/>
            </w:tcBorders>
            <w:shd w:color="auto" w:fill="FFFFFF" w:val="clear"/>
          </w:tcPr>
          <w:p>
            <w:pPr>
              <w:pStyle w:val="Normal"/>
              <w:widowControl w:val="false"/>
              <w:snapToGrid w:val="false"/>
              <w:rPr>
                <w:sz w:val="26"/>
                <w:szCs w:val="26"/>
              </w:rPr>
            </w:pPr>
            <w:r>
              <w:rPr>
                <w:sz w:val="26"/>
                <w:szCs w:val="26"/>
              </w:rPr>
            </w:r>
          </w:p>
        </w:tc>
        <w:tc>
          <w:tcPr>
            <w:tcW w:w="5452"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10"/>
              <w:jc w:val="left"/>
              <w:rPr/>
            </w:pPr>
            <w:r>
              <w:rPr>
                <w:rStyle w:val="2105pt"/>
                <w:sz w:val="26"/>
                <w:szCs w:val="26"/>
              </w:rPr>
              <w:t>1 этап. Общеподготовительные работы:</w:t>
            </w:r>
          </w:p>
        </w:tc>
        <w:tc>
          <w:tcPr>
            <w:tcW w:w="1662" w:type="dxa"/>
            <w:tcBorders>
              <w:top w:val="single" w:sz="4" w:space="0" w:color="000000"/>
              <w:left w:val="single" w:sz="4" w:space="0" w:color="000000"/>
            </w:tcBorders>
            <w:shd w:color="auto" w:fill="FFFFFF" w:val="clear"/>
          </w:tcPr>
          <w:p>
            <w:pPr>
              <w:pStyle w:val="Normal"/>
              <w:widowControl w:val="false"/>
              <w:snapToGrid w:val="false"/>
              <w:rPr>
                <w:sz w:val="26"/>
                <w:szCs w:val="26"/>
              </w:rPr>
            </w:pPr>
            <w:r>
              <w:rPr>
                <w:sz w:val="26"/>
                <w:szCs w:val="26"/>
              </w:rPr>
            </w:r>
          </w:p>
        </w:tc>
        <w:tc>
          <w:tcPr>
            <w:tcW w:w="1739" w:type="dxa"/>
            <w:tcBorders>
              <w:top w:val="single" w:sz="4" w:space="0" w:color="000000"/>
              <w:left w:val="single" w:sz="4" w:space="0" w:color="000000"/>
              <w:right w:val="single" w:sz="4" w:space="0" w:color="000000"/>
            </w:tcBorders>
            <w:shd w:color="auto" w:fill="FFFFFF" w:val="clear"/>
          </w:tcPr>
          <w:p>
            <w:pPr>
              <w:pStyle w:val="Normal"/>
              <w:widowControl w:val="false"/>
              <w:snapToGrid w:val="false"/>
              <w:rPr>
                <w:sz w:val="26"/>
                <w:szCs w:val="26"/>
              </w:rPr>
            </w:pPr>
            <w:r>
              <w:rPr>
                <w:sz w:val="26"/>
                <w:szCs w:val="26"/>
              </w:rPr>
            </w:r>
          </w:p>
        </w:tc>
      </w:tr>
      <w:tr>
        <w:trPr>
          <w:trHeight w:val="701" w:hRule="exact"/>
        </w:trPr>
        <w:tc>
          <w:tcPr>
            <w:tcW w:w="548"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sz w:val="26"/>
                <w:szCs w:val="26"/>
              </w:rPr>
              <w:t>1</w:t>
            </w:r>
          </w:p>
        </w:tc>
        <w:tc>
          <w:tcPr>
            <w:tcW w:w="5452"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30"/>
              <w:ind w:hanging="0"/>
              <w:jc w:val="left"/>
              <w:rPr/>
            </w:pPr>
            <w:r>
              <w:rPr>
                <w:rStyle w:val="2105pt"/>
                <w:sz w:val="26"/>
                <w:szCs w:val="26"/>
              </w:rPr>
              <w:t>Обеспечить подготовку к ГИ</w:t>
            </w:r>
          </w:p>
          <w:p>
            <w:pPr>
              <w:pStyle w:val="21"/>
              <w:widowControl w:val="false"/>
              <w:shd w:val="clear" w:color="auto" w:fill="auto"/>
              <w:spacing w:lineRule="exact" w:line="230"/>
              <w:jc w:val="left"/>
              <w:rPr/>
            </w:pPr>
            <w:r>
              <w:rPr>
                <w:rStyle w:val="2105pt"/>
                <w:sz w:val="26"/>
                <w:szCs w:val="26"/>
              </w:rPr>
              <w:br/>
            </w:r>
          </w:p>
        </w:tc>
        <w:tc>
          <w:tcPr>
            <w:tcW w:w="1662" w:type="dxa"/>
            <w:tcBorders>
              <w:top w:val="single" w:sz="4" w:space="0" w:color="000000"/>
              <w:left w:val="single" w:sz="4" w:space="0" w:color="000000"/>
            </w:tcBorders>
            <w:shd w:color="auto" w:fill="FFFFFF" w:val="clear"/>
          </w:tcPr>
          <w:p>
            <w:pPr>
              <w:pStyle w:val="21"/>
              <w:widowControl w:val="false"/>
              <w:shd w:val="clear" w:color="auto" w:fill="auto"/>
              <w:spacing w:lineRule="exact" w:line="226"/>
              <w:ind w:hanging="0"/>
              <w:jc w:val="left"/>
              <w:rPr/>
            </w:pPr>
            <w:r>
              <w:rPr>
                <w:rStyle w:val="2105pt"/>
                <w:sz w:val="26"/>
                <w:szCs w:val="26"/>
              </w:rPr>
              <w:t>За 2 дня до</w:t>
              <w:br/>
              <w:t>начала ГИ</w:t>
            </w:r>
          </w:p>
        </w:tc>
        <w:tc>
          <w:tcPr>
            <w:tcW w:w="1739" w:type="dxa"/>
            <w:tcBorders>
              <w:top w:val="single" w:sz="4" w:space="0" w:color="000000"/>
              <w:left w:val="single" w:sz="4" w:space="0" w:color="000000"/>
              <w:right w:val="single" w:sz="4" w:space="0" w:color="000000"/>
            </w:tcBorders>
            <w:shd w:color="auto" w:fill="FFFFFF" w:val="clear"/>
          </w:tcPr>
          <w:p>
            <w:pPr>
              <w:pStyle w:val="21"/>
              <w:widowControl w:val="false"/>
              <w:shd w:val="clear" w:color="auto" w:fill="auto"/>
              <w:spacing w:lineRule="exact" w:line="210"/>
              <w:rPr/>
            </w:pPr>
            <w:r>
              <w:rPr>
                <w:rStyle w:val="2105pt"/>
                <w:sz w:val="26"/>
                <w:szCs w:val="26"/>
              </w:rPr>
              <w:t>ПТО</w:t>
            </w:r>
          </w:p>
        </w:tc>
      </w:tr>
      <w:tr>
        <w:trPr>
          <w:trHeight w:val="706" w:hRule="exact"/>
        </w:trPr>
        <w:tc>
          <w:tcPr>
            <w:tcW w:w="548"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sz w:val="26"/>
                <w:szCs w:val="26"/>
              </w:rPr>
              <w:t>2</w:t>
            </w:r>
          </w:p>
        </w:tc>
        <w:tc>
          <w:tcPr>
            <w:tcW w:w="5452"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30"/>
              <w:ind w:hanging="0"/>
              <w:jc w:val="left"/>
              <w:rPr/>
            </w:pPr>
            <w:r>
              <w:rPr>
                <w:rStyle w:val="2105pt"/>
                <w:sz w:val="26"/>
                <w:szCs w:val="26"/>
              </w:rPr>
              <w:t>Уведомить по списку Потребителей тепловой энергии,</w:t>
              <w:br/>
              <w:t>имеющих свои отдельные абонентские ввода, о проведении</w:t>
              <w:br/>
              <w:t>гидравлических испытаний</w:t>
            </w:r>
          </w:p>
        </w:tc>
        <w:tc>
          <w:tcPr>
            <w:tcW w:w="1662" w:type="dxa"/>
            <w:tcBorders>
              <w:top w:val="single" w:sz="4" w:space="0" w:color="000000"/>
              <w:left w:val="single" w:sz="4" w:space="0" w:color="000000"/>
            </w:tcBorders>
            <w:shd w:color="auto" w:fill="FFFFFF" w:val="clear"/>
          </w:tcPr>
          <w:p>
            <w:pPr>
              <w:pStyle w:val="21"/>
              <w:widowControl w:val="false"/>
              <w:shd w:val="clear" w:color="auto" w:fill="auto"/>
              <w:spacing w:lineRule="exact" w:line="230"/>
              <w:ind w:hanging="0"/>
              <w:jc w:val="left"/>
              <w:rPr/>
            </w:pPr>
            <w:r>
              <w:rPr>
                <w:rStyle w:val="2105pt"/>
                <w:sz w:val="26"/>
                <w:szCs w:val="26"/>
              </w:rPr>
              <w:t>За 2 дня до</w:t>
              <w:br/>
              <w:t>начала ГИ</w:t>
            </w:r>
          </w:p>
        </w:tc>
        <w:tc>
          <w:tcPr>
            <w:tcW w:w="1739" w:type="dxa"/>
            <w:tcBorders>
              <w:top w:val="single" w:sz="4" w:space="0" w:color="000000"/>
              <w:left w:val="single" w:sz="4" w:space="0" w:color="000000"/>
              <w:right w:val="single" w:sz="4" w:space="0" w:color="000000"/>
            </w:tcBorders>
            <w:shd w:color="auto" w:fill="FFFFFF" w:val="clear"/>
          </w:tcPr>
          <w:p>
            <w:pPr>
              <w:pStyle w:val="21"/>
              <w:widowControl w:val="false"/>
              <w:shd w:val="clear" w:color="auto" w:fill="auto"/>
              <w:spacing w:lineRule="exact" w:line="210" w:before="0" w:after="60"/>
              <w:ind w:hanging="0"/>
              <w:rPr/>
            </w:pPr>
            <w:r>
              <w:rPr>
                <w:rStyle w:val="2105pt"/>
                <w:sz w:val="26"/>
                <w:szCs w:val="26"/>
              </w:rPr>
              <w:t>Мастер</w:t>
            </w:r>
          </w:p>
          <w:p>
            <w:pPr>
              <w:pStyle w:val="21"/>
              <w:widowControl w:val="false"/>
              <w:shd w:val="clear" w:color="auto" w:fill="auto"/>
              <w:spacing w:lineRule="exact" w:line="210" w:before="60" w:after="0"/>
              <w:ind w:hanging="0"/>
              <w:rPr/>
            </w:pPr>
            <w:r>
              <w:rPr>
                <w:rStyle w:val="2105pt"/>
                <w:sz w:val="26"/>
                <w:szCs w:val="26"/>
              </w:rPr>
              <w:t>котельной.</w:t>
            </w:r>
          </w:p>
        </w:tc>
      </w:tr>
      <w:tr>
        <w:trPr>
          <w:trHeight w:val="936" w:hRule="exact"/>
        </w:trPr>
        <w:tc>
          <w:tcPr>
            <w:tcW w:w="548"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sz w:val="26"/>
                <w:szCs w:val="26"/>
              </w:rPr>
              <w:t>3</w:t>
            </w:r>
          </w:p>
        </w:tc>
        <w:tc>
          <w:tcPr>
            <w:tcW w:w="5452"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26"/>
              <w:ind w:hanging="0"/>
              <w:jc w:val="left"/>
              <w:rPr/>
            </w:pPr>
            <w:r>
              <w:rPr>
                <w:rStyle w:val="2105pt"/>
                <w:sz w:val="26"/>
                <w:szCs w:val="26"/>
              </w:rPr>
              <w:t>Управляющим Компаниям и Потребителям тепловой энергии</w:t>
              <w:br/>
              <w:t>имеющим свои отдельные абонентские ввода, провести</w:t>
              <w:br/>
              <w:t>отключение абонентских вводов и опломбировать запорную</w:t>
              <w:br/>
              <w:t>арматуру систем отопления</w:t>
            </w:r>
          </w:p>
        </w:tc>
        <w:tc>
          <w:tcPr>
            <w:tcW w:w="1662" w:type="dxa"/>
            <w:tcBorders>
              <w:top w:val="single" w:sz="4" w:space="0" w:color="000000"/>
              <w:left w:val="single" w:sz="4" w:space="0" w:color="000000"/>
            </w:tcBorders>
            <w:shd w:color="auto" w:fill="FFFFFF" w:val="clear"/>
          </w:tcPr>
          <w:p>
            <w:pPr>
              <w:pStyle w:val="Normal"/>
              <w:widowControl w:val="false"/>
              <w:snapToGrid w:val="false"/>
              <w:rPr>
                <w:sz w:val="26"/>
                <w:szCs w:val="26"/>
              </w:rPr>
            </w:pPr>
            <w:r>
              <w:rPr>
                <w:sz w:val="26"/>
                <w:szCs w:val="26"/>
              </w:rPr>
            </w:r>
          </w:p>
        </w:tc>
        <w:tc>
          <w:tcPr>
            <w:tcW w:w="1739" w:type="dxa"/>
            <w:tcBorders>
              <w:top w:val="single" w:sz="4" w:space="0" w:color="000000"/>
              <w:left w:val="single" w:sz="4" w:space="0" w:color="000000"/>
              <w:right w:val="single" w:sz="4" w:space="0" w:color="000000"/>
            </w:tcBorders>
            <w:shd w:color="auto" w:fill="FFFFFF" w:val="clear"/>
          </w:tcPr>
          <w:p>
            <w:pPr>
              <w:pStyle w:val="21"/>
              <w:widowControl w:val="false"/>
              <w:shd w:val="clear" w:color="auto" w:fill="auto"/>
              <w:snapToGrid w:val="false"/>
              <w:spacing w:lineRule="exact" w:line="230"/>
              <w:rPr>
                <w:sz w:val="26"/>
                <w:szCs w:val="26"/>
              </w:rPr>
            </w:pPr>
            <w:r>
              <w:rPr>
                <w:sz w:val="26"/>
                <w:szCs w:val="26"/>
              </w:rPr>
            </w:r>
          </w:p>
          <w:p>
            <w:pPr>
              <w:pStyle w:val="21"/>
              <w:widowControl w:val="false"/>
              <w:shd w:val="clear" w:color="auto" w:fill="auto"/>
              <w:spacing w:lineRule="exact" w:line="230"/>
              <w:ind w:hanging="0"/>
              <w:rPr/>
            </w:pPr>
            <w:r>
              <w:rPr>
                <w:rStyle w:val="2105pt"/>
                <w:sz w:val="26"/>
                <w:szCs w:val="26"/>
              </w:rPr>
              <w:t>Представитель УК</w:t>
            </w:r>
          </w:p>
          <w:p>
            <w:pPr>
              <w:pStyle w:val="21"/>
              <w:widowControl w:val="false"/>
              <w:shd w:val="clear" w:color="auto" w:fill="auto"/>
              <w:spacing w:lineRule="exact" w:line="230"/>
              <w:ind w:hanging="0"/>
              <w:rPr/>
            </w:pPr>
            <w:r>
              <w:rPr>
                <w:rStyle w:val="2105pt"/>
                <w:sz w:val="26"/>
                <w:szCs w:val="26"/>
              </w:rPr>
              <w:t>Потребители</w:t>
            </w:r>
          </w:p>
          <w:p>
            <w:pPr>
              <w:pStyle w:val="21"/>
              <w:widowControl w:val="false"/>
              <w:shd w:val="clear" w:color="auto" w:fill="auto"/>
              <w:spacing w:lineRule="exact" w:line="230"/>
              <w:rPr>
                <w:sz w:val="26"/>
                <w:szCs w:val="26"/>
              </w:rPr>
            </w:pPr>
            <w:r>
              <w:rPr>
                <w:sz w:val="26"/>
                <w:szCs w:val="26"/>
              </w:rPr>
            </w:r>
          </w:p>
        </w:tc>
      </w:tr>
      <w:tr>
        <w:trPr>
          <w:trHeight w:val="475" w:hRule="exact"/>
        </w:trPr>
        <w:tc>
          <w:tcPr>
            <w:tcW w:w="548"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sz w:val="26"/>
                <w:szCs w:val="26"/>
              </w:rPr>
              <w:t>4</w:t>
            </w:r>
          </w:p>
        </w:tc>
        <w:tc>
          <w:tcPr>
            <w:tcW w:w="5452"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sz w:val="26"/>
                <w:szCs w:val="26"/>
              </w:rPr>
              <w:t>Провести установку манометров в помещении котельной и ТК</w:t>
            </w:r>
          </w:p>
        </w:tc>
        <w:tc>
          <w:tcPr>
            <w:tcW w:w="1662"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sz w:val="26"/>
                <w:szCs w:val="26"/>
              </w:rPr>
              <w:t>13.00-15.00</w:t>
            </w:r>
          </w:p>
        </w:tc>
        <w:tc>
          <w:tcPr>
            <w:tcW w:w="1739" w:type="dxa"/>
            <w:tcBorders>
              <w:top w:val="single" w:sz="4" w:space="0" w:color="000000"/>
              <w:left w:val="single" w:sz="4" w:space="0" w:color="000000"/>
              <w:right w:val="single" w:sz="4" w:space="0" w:color="000000"/>
            </w:tcBorders>
            <w:shd w:color="auto" w:fill="FFFFFF" w:val="clear"/>
            <w:vAlign w:val="bottom"/>
          </w:tcPr>
          <w:p>
            <w:pPr>
              <w:pStyle w:val="21"/>
              <w:widowControl w:val="false"/>
              <w:shd w:val="clear" w:color="auto" w:fill="auto"/>
              <w:spacing w:lineRule="exact" w:line="230"/>
              <w:ind w:hanging="0"/>
              <w:rPr/>
            </w:pPr>
            <w:r>
              <w:rPr>
                <w:rStyle w:val="2105pt"/>
                <w:sz w:val="26"/>
                <w:szCs w:val="26"/>
              </w:rPr>
              <w:t>Мастер котельной</w:t>
              <w:br/>
            </w:r>
          </w:p>
        </w:tc>
      </w:tr>
      <w:tr>
        <w:trPr>
          <w:trHeight w:val="470" w:hRule="exact"/>
        </w:trPr>
        <w:tc>
          <w:tcPr>
            <w:tcW w:w="548"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sz w:val="26"/>
                <w:szCs w:val="26"/>
              </w:rPr>
              <w:t>5</w:t>
            </w:r>
          </w:p>
        </w:tc>
        <w:tc>
          <w:tcPr>
            <w:tcW w:w="5452"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30"/>
              <w:ind w:hanging="0"/>
              <w:jc w:val="left"/>
              <w:rPr/>
            </w:pPr>
            <w:r>
              <w:rPr>
                <w:rStyle w:val="2105pt"/>
                <w:sz w:val="26"/>
                <w:szCs w:val="26"/>
              </w:rPr>
              <w:t>Перед началом ГИ снизить температуру теплоносителя до 40 градусов.</w:t>
            </w:r>
          </w:p>
        </w:tc>
        <w:tc>
          <w:tcPr>
            <w:tcW w:w="1662" w:type="dxa"/>
            <w:tcBorders>
              <w:top w:val="single" w:sz="4" w:space="0" w:color="000000"/>
              <w:left w:val="single" w:sz="4" w:space="0" w:color="000000"/>
            </w:tcBorders>
            <w:shd w:color="auto" w:fill="FFFFFF" w:val="clear"/>
          </w:tcPr>
          <w:p>
            <w:pPr>
              <w:pStyle w:val="Normal"/>
              <w:widowControl w:val="false"/>
              <w:snapToGrid w:val="false"/>
              <w:rPr>
                <w:sz w:val="26"/>
                <w:szCs w:val="26"/>
              </w:rPr>
            </w:pPr>
            <w:r>
              <w:rPr>
                <w:sz w:val="26"/>
                <w:szCs w:val="26"/>
              </w:rPr>
            </w:r>
          </w:p>
        </w:tc>
        <w:tc>
          <w:tcPr>
            <w:tcW w:w="1739" w:type="dxa"/>
            <w:tcBorders>
              <w:top w:val="single" w:sz="4" w:space="0" w:color="000000"/>
              <w:left w:val="single" w:sz="4" w:space="0" w:color="000000"/>
              <w:right w:val="single" w:sz="4" w:space="0" w:color="000000"/>
            </w:tcBorders>
            <w:shd w:color="auto" w:fill="FFFFFF" w:val="clear"/>
            <w:vAlign w:val="bottom"/>
          </w:tcPr>
          <w:p>
            <w:pPr>
              <w:pStyle w:val="21"/>
              <w:widowControl w:val="false"/>
              <w:shd w:val="clear" w:color="auto" w:fill="auto"/>
              <w:spacing w:lineRule="exact" w:line="235"/>
              <w:ind w:hanging="0"/>
              <w:rPr/>
            </w:pPr>
            <w:r>
              <w:rPr>
                <w:rStyle w:val="2105pt"/>
                <w:sz w:val="26"/>
                <w:szCs w:val="26"/>
              </w:rPr>
              <w:t xml:space="preserve">Мастер котельной </w:t>
              <w:br/>
            </w:r>
          </w:p>
        </w:tc>
      </w:tr>
      <w:tr>
        <w:trPr>
          <w:trHeight w:val="953" w:hRule="exact"/>
        </w:trPr>
        <w:tc>
          <w:tcPr>
            <w:tcW w:w="548"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sz w:val="26"/>
                <w:szCs w:val="26"/>
              </w:rPr>
              <w:t>6</w:t>
            </w:r>
          </w:p>
        </w:tc>
        <w:tc>
          <w:tcPr>
            <w:tcW w:w="5452"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30"/>
              <w:ind w:hanging="0"/>
              <w:jc w:val="left"/>
              <w:rPr/>
            </w:pPr>
            <w:r>
              <w:rPr>
                <w:rStyle w:val="2105pt"/>
                <w:sz w:val="26"/>
                <w:szCs w:val="26"/>
              </w:rPr>
              <w:t>Оповестить телефонограммой по списку Потребителей</w:t>
              <w:br/>
              <w:t xml:space="preserve">тепловой энергии, имеющих УК, о начале проведения   </w:t>
            </w:r>
            <w:r>
              <w:rPr>
                <w:rStyle w:val="2105pt"/>
                <w:sz w:val="26"/>
                <w:szCs w:val="26"/>
                <w:lang w:eastAsia="zh-CN"/>
              </w:rPr>
              <w:t>гидравлических испытаний.</w:t>
            </w:r>
            <w:r>
              <w:rPr>
                <w:rStyle w:val="2105pt"/>
                <w:sz w:val="26"/>
                <w:szCs w:val="26"/>
              </w:rPr>
              <w:br/>
            </w:r>
          </w:p>
        </w:tc>
        <w:tc>
          <w:tcPr>
            <w:tcW w:w="1662"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30"/>
              <w:ind w:hanging="0"/>
              <w:jc w:val="left"/>
              <w:rPr/>
            </w:pPr>
            <w:r>
              <w:rPr>
                <w:rStyle w:val="2105pt"/>
                <w:sz w:val="26"/>
                <w:szCs w:val="26"/>
              </w:rPr>
              <w:t>За 2 часа до</w:t>
            </w:r>
          </w:p>
          <w:p>
            <w:pPr>
              <w:pStyle w:val="21"/>
              <w:widowControl w:val="false"/>
              <w:shd w:val="clear" w:color="auto" w:fill="auto"/>
              <w:spacing w:lineRule="exact" w:line="230"/>
              <w:ind w:hanging="0"/>
              <w:jc w:val="left"/>
              <w:rPr/>
            </w:pPr>
            <w:r>
              <w:rPr>
                <w:rStyle w:val="2105pt"/>
                <w:sz w:val="26"/>
                <w:szCs w:val="26"/>
              </w:rPr>
              <w:t>предстоящих</w:t>
            </w:r>
          </w:p>
          <w:p>
            <w:pPr>
              <w:pStyle w:val="21"/>
              <w:widowControl w:val="false"/>
              <w:shd w:val="clear" w:color="auto" w:fill="auto"/>
              <w:spacing w:lineRule="exact" w:line="230"/>
              <w:jc w:val="left"/>
              <w:rPr/>
            </w:pPr>
            <w:r>
              <w:rPr>
                <w:rStyle w:val="2105pt"/>
                <w:sz w:val="26"/>
                <w:szCs w:val="26"/>
              </w:rPr>
              <w:t>ГИ</w:t>
            </w:r>
          </w:p>
        </w:tc>
        <w:tc>
          <w:tcPr>
            <w:tcW w:w="1739" w:type="dxa"/>
            <w:tcBorders>
              <w:top w:val="single" w:sz="4" w:space="0" w:color="000000"/>
              <w:left w:val="single" w:sz="4" w:space="0" w:color="000000"/>
              <w:right w:val="single" w:sz="4" w:space="0" w:color="000000"/>
            </w:tcBorders>
            <w:shd w:color="auto" w:fill="FFFFFF" w:val="clear"/>
          </w:tcPr>
          <w:p>
            <w:pPr>
              <w:pStyle w:val="21"/>
              <w:widowControl w:val="false"/>
              <w:shd w:val="clear" w:color="auto" w:fill="auto"/>
              <w:spacing w:lineRule="exact" w:line="210"/>
              <w:ind w:hanging="0"/>
              <w:rPr/>
            </w:pPr>
            <w:r>
              <w:rPr>
                <w:rStyle w:val="2105pt"/>
                <w:sz w:val="26"/>
                <w:szCs w:val="26"/>
              </w:rPr>
              <w:t>Инженер ПТО</w:t>
            </w:r>
          </w:p>
        </w:tc>
      </w:tr>
      <w:tr>
        <w:trPr>
          <w:trHeight w:val="240" w:hRule="exact"/>
        </w:trPr>
        <w:tc>
          <w:tcPr>
            <w:tcW w:w="548" w:type="dxa"/>
            <w:tcBorders>
              <w:top w:val="single" w:sz="4" w:space="0" w:color="000000"/>
              <w:left w:val="single" w:sz="4" w:space="0" w:color="000000"/>
            </w:tcBorders>
            <w:shd w:color="auto" w:fill="FFFFFF" w:val="clear"/>
          </w:tcPr>
          <w:p>
            <w:pPr>
              <w:pStyle w:val="Normal"/>
              <w:widowControl w:val="false"/>
              <w:snapToGrid w:val="false"/>
              <w:rPr>
                <w:sz w:val="26"/>
                <w:szCs w:val="26"/>
              </w:rPr>
            </w:pPr>
            <w:r>
              <w:rPr>
                <w:sz w:val="26"/>
                <w:szCs w:val="26"/>
              </w:rPr>
            </w:r>
          </w:p>
        </w:tc>
        <w:tc>
          <w:tcPr>
            <w:tcW w:w="5452"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10"/>
              <w:jc w:val="left"/>
              <w:rPr/>
            </w:pPr>
            <w:r>
              <w:rPr>
                <w:rStyle w:val="2105pt"/>
                <w:sz w:val="26"/>
                <w:szCs w:val="26"/>
              </w:rPr>
              <w:t>2 этап. ГИ внутриквартальных т/сетей:</w:t>
            </w:r>
          </w:p>
        </w:tc>
        <w:tc>
          <w:tcPr>
            <w:tcW w:w="1662" w:type="dxa"/>
            <w:tcBorders>
              <w:top w:val="single" w:sz="4" w:space="0" w:color="000000"/>
              <w:left w:val="single" w:sz="4" w:space="0" w:color="000000"/>
            </w:tcBorders>
            <w:shd w:color="auto" w:fill="FFFFFF" w:val="clear"/>
          </w:tcPr>
          <w:p>
            <w:pPr>
              <w:pStyle w:val="Normal"/>
              <w:widowControl w:val="false"/>
              <w:snapToGrid w:val="false"/>
              <w:rPr>
                <w:sz w:val="26"/>
                <w:szCs w:val="26"/>
              </w:rPr>
            </w:pPr>
            <w:r>
              <w:rPr>
                <w:sz w:val="26"/>
                <w:szCs w:val="26"/>
              </w:rPr>
            </w:r>
          </w:p>
        </w:tc>
        <w:tc>
          <w:tcPr>
            <w:tcW w:w="1739" w:type="dxa"/>
            <w:tcBorders>
              <w:top w:val="single" w:sz="4" w:space="0" w:color="000000"/>
              <w:left w:val="single" w:sz="4" w:space="0" w:color="000000"/>
              <w:right w:val="single" w:sz="4" w:space="0" w:color="000000"/>
            </w:tcBorders>
            <w:shd w:color="auto" w:fill="FFFFFF" w:val="clear"/>
          </w:tcPr>
          <w:p>
            <w:pPr>
              <w:pStyle w:val="Normal"/>
              <w:widowControl w:val="false"/>
              <w:snapToGrid w:val="false"/>
              <w:rPr>
                <w:sz w:val="26"/>
                <w:szCs w:val="26"/>
              </w:rPr>
            </w:pPr>
            <w:r>
              <w:rPr>
                <w:sz w:val="26"/>
                <w:szCs w:val="26"/>
              </w:rPr>
            </w:r>
          </w:p>
        </w:tc>
      </w:tr>
      <w:tr>
        <w:trPr>
          <w:trHeight w:val="475" w:hRule="exact"/>
        </w:trPr>
        <w:tc>
          <w:tcPr>
            <w:tcW w:w="548"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sz w:val="26"/>
                <w:szCs w:val="26"/>
              </w:rPr>
              <w:t>7</w:t>
            </w:r>
          </w:p>
        </w:tc>
        <w:tc>
          <w:tcPr>
            <w:tcW w:w="5452"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30"/>
              <w:ind w:hanging="0"/>
              <w:jc w:val="left"/>
              <w:rPr/>
            </w:pPr>
            <w:r>
              <w:rPr>
                <w:rStyle w:val="2105pt"/>
                <w:sz w:val="26"/>
                <w:szCs w:val="26"/>
              </w:rPr>
              <w:t>Провести отключение потребителей на границе раздела</w:t>
              <w:br/>
              <w:t>эксплуатационной ответственности</w:t>
            </w:r>
          </w:p>
        </w:tc>
        <w:tc>
          <w:tcPr>
            <w:tcW w:w="1662" w:type="dxa"/>
            <w:tcBorders>
              <w:top w:val="single" w:sz="4" w:space="0" w:color="000000"/>
              <w:left w:val="single" w:sz="4" w:space="0" w:color="000000"/>
            </w:tcBorders>
            <w:shd w:color="auto" w:fill="FFFFFF" w:val="clear"/>
          </w:tcPr>
          <w:p>
            <w:pPr>
              <w:pStyle w:val="Normal"/>
              <w:widowControl w:val="false"/>
              <w:snapToGrid w:val="false"/>
              <w:ind w:hanging="0"/>
              <w:rPr>
                <w:sz w:val="26"/>
                <w:szCs w:val="26"/>
              </w:rPr>
            </w:pPr>
            <w:r>
              <w:rPr>
                <w:sz w:val="26"/>
                <w:szCs w:val="26"/>
              </w:rPr>
            </w:r>
          </w:p>
        </w:tc>
        <w:tc>
          <w:tcPr>
            <w:tcW w:w="1739" w:type="dxa"/>
            <w:tcBorders>
              <w:top w:val="single" w:sz="4" w:space="0" w:color="000000"/>
              <w:left w:val="single" w:sz="4" w:space="0" w:color="000000"/>
              <w:right w:val="single" w:sz="4" w:space="0" w:color="000000"/>
            </w:tcBorders>
            <w:shd w:color="auto" w:fill="FFFFFF" w:val="clear"/>
            <w:vAlign w:val="bottom"/>
          </w:tcPr>
          <w:p>
            <w:pPr>
              <w:pStyle w:val="21"/>
              <w:widowControl w:val="false"/>
              <w:shd w:val="clear" w:color="auto" w:fill="auto"/>
              <w:spacing w:lineRule="exact" w:line="210" w:before="0" w:after="60"/>
              <w:ind w:hanging="0"/>
              <w:rPr/>
            </w:pPr>
            <w:r>
              <w:rPr>
                <w:rStyle w:val="2105pt"/>
                <w:sz w:val="26"/>
                <w:szCs w:val="26"/>
              </w:rPr>
              <w:t>Оперативный</w:t>
            </w:r>
          </w:p>
          <w:p>
            <w:pPr>
              <w:pStyle w:val="21"/>
              <w:widowControl w:val="false"/>
              <w:shd w:val="clear" w:color="auto" w:fill="auto"/>
              <w:spacing w:lineRule="exact" w:line="210" w:before="60" w:after="0"/>
              <w:rPr/>
            </w:pPr>
            <w:r>
              <w:rPr>
                <w:rStyle w:val="2105pt"/>
                <w:sz w:val="26"/>
                <w:szCs w:val="26"/>
              </w:rPr>
              <w:t>персонал</w:t>
            </w:r>
          </w:p>
        </w:tc>
      </w:tr>
      <w:tr>
        <w:trPr>
          <w:trHeight w:val="475" w:hRule="exact"/>
        </w:trPr>
        <w:tc>
          <w:tcPr>
            <w:tcW w:w="548" w:type="dxa"/>
            <w:tcBorders>
              <w:top w:val="single" w:sz="4" w:space="0" w:color="000000"/>
              <w:left w:val="single" w:sz="4" w:space="0" w:color="000000"/>
            </w:tcBorders>
            <w:shd w:color="auto" w:fill="FFFFFF" w:val="clear"/>
            <w:vAlign w:val="center"/>
          </w:tcPr>
          <w:p>
            <w:pPr>
              <w:pStyle w:val="21"/>
              <w:widowControl w:val="false"/>
              <w:shd w:val="clear" w:color="auto" w:fill="auto"/>
              <w:spacing w:lineRule="exact" w:line="210"/>
              <w:ind w:left="140" w:hanging="0"/>
              <w:jc w:val="left"/>
              <w:rPr/>
            </w:pPr>
            <w:r>
              <w:rPr>
                <w:rStyle w:val="2105pt"/>
                <w:sz w:val="26"/>
                <w:szCs w:val="26"/>
              </w:rPr>
              <w:t>8</w:t>
            </w:r>
          </w:p>
        </w:tc>
        <w:tc>
          <w:tcPr>
            <w:tcW w:w="5452"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sz w:val="26"/>
                <w:szCs w:val="26"/>
              </w:rPr>
              <w:t>Установить давление в тепловой сети 6 атм.</w:t>
            </w:r>
          </w:p>
        </w:tc>
        <w:tc>
          <w:tcPr>
            <w:tcW w:w="1662"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sz w:val="26"/>
                <w:szCs w:val="26"/>
              </w:rPr>
              <w:t>15.00-16.00</w:t>
            </w:r>
          </w:p>
        </w:tc>
        <w:tc>
          <w:tcPr>
            <w:tcW w:w="1739" w:type="dxa"/>
            <w:tcBorders>
              <w:top w:val="single" w:sz="4" w:space="0" w:color="000000"/>
              <w:left w:val="single" w:sz="4" w:space="0" w:color="000000"/>
              <w:right w:val="single" w:sz="4" w:space="0" w:color="000000"/>
            </w:tcBorders>
            <w:shd w:color="auto" w:fill="FFFFFF" w:val="clear"/>
            <w:vAlign w:val="bottom"/>
          </w:tcPr>
          <w:p>
            <w:pPr>
              <w:pStyle w:val="21"/>
              <w:widowControl w:val="false"/>
              <w:shd w:val="clear" w:color="auto" w:fill="auto"/>
              <w:spacing w:lineRule="exact" w:line="210" w:before="0" w:after="60"/>
              <w:ind w:hanging="0"/>
              <w:rPr/>
            </w:pPr>
            <w:r>
              <w:rPr>
                <w:rStyle w:val="2105pt"/>
                <w:sz w:val="26"/>
                <w:szCs w:val="26"/>
              </w:rPr>
              <w:t>Мастер</w:t>
            </w:r>
          </w:p>
          <w:p>
            <w:pPr>
              <w:pStyle w:val="21"/>
              <w:widowControl w:val="false"/>
              <w:shd w:val="clear" w:color="auto" w:fill="auto"/>
              <w:spacing w:lineRule="exact" w:line="210" w:before="60" w:after="0"/>
              <w:ind w:hanging="0"/>
              <w:rPr/>
            </w:pPr>
            <w:r>
              <w:rPr>
                <w:rStyle w:val="2105pt"/>
                <w:sz w:val="26"/>
                <w:szCs w:val="26"/>
              </w:rPr>
              <w:t>котельной</w:t>
            </w:r>
          </w:p>
        </w:tc>
      </w:tr>
      <w:tr>
        <w:trPr>
          <w:trHeight w:val="466" w:hRule="exact"/>
        </w:trPr>
        <w:tc>
          <w:tcPr>
            <w:tcW w:w="548"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sz w:val="26"/>
                <w:szCs w:val="26"/>
              </w:rPr>
              <w:t>9</w:t>
            </w:r>
          </w:p>
        </w:tc>
        <w:tc>
          <w:tcPr>
            <w:tcW w:w="5452"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sz w:val="26"/>
                <w:szCs w:val="26"/>
              </w:rPr>
              <w:t>Выдержать давление 30 минут без остановки насосов</w:t>
            </w:r>
          </w:p>
        </w:tc>
        <w:tc>
          <w:tcPr>
            <w:tcW w:w="1662"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sz w:val="26"/>
                <w:szCs w:val="26"/>
              </w:rPr>
              <w:t>15.30-16.30</w:t>
            </w:r>
          </w:p>
        </w:tc>
        <w:tc>
          <w:tcPr>
            <w:tcW w:w="1739" w:type="dxa"/>
            <w:tcBorders>
              <w:top w:val="single" w:sz="4" w:space="0" w:color="000000"/>
              <w:left w:val="single" w:sz="4" w:space="0" w:color="000000"/>
              <w:right w:val="single" w:sz="4" w:space="0" w:color="000000"/>
            </w:tcBorders>
            <w:shd w:color="auto" w:fill="FFFFFF" w:val="clear"/>
            <w:vAlign w:val="bottom"/>
          </w:tcPr>
          <w:p>
            <w:pPr>
              <w:pStyle w:val="21"/>
              <w:widowControl w:val="false"/>
              <w:shd w:val="clear" w:color="auto" w:fill="auto"/>
              <w:spacing w:lineRule="exact" w:line="210" w:before="0" w:after="60"/>
              <w:ind w:hanging="0"/>
              <w:rPr/>
            </w:pPr>
            <w:r>
              <w:rPr>
                <w:rStyle w:val="2105pt"/>
                <w:sz w:val="26"/>
                <w:szCs w:val="26"/>
              </w:rPr>
              <w:t>Мастер</w:t>
            </w:r>
          </w:p>
          <w:p>
            <w:pPr>
              <w:pStyle w:val="21"/>
              <w:widowControl w:val="false"/>
              <w:shd w:val="clear" w:color="auto" w:fill="auto"/>
              <w:spacing w:lineRule="exact" w:line="210" w:before="60" w:after="0"/>
              <w:ind w:hanging="0"/>
              <w:rPr/>
            </w:pPr>
            <w:r>
              <w:rPr>
                <w:rStyle w:val="2105pt"/>
                <w:sz w:val="26"/>
                <w:szCs w:val="26"/>
              </w:rPr>
              <w:t>котельной</w:t>
            </w:r>
          </w:p>
        </w:tc>
      </w:tr>
      <w:tr>
        <w:trPr>
          <w:trHeight w:val="470" w:hRule="exact"/>
        </w:trPr>
        <w:tc>
          <w:tcPr>
            <w:tcW w:w="548" w:type="dxa"/>
            <w:tcBorders>
              <w:top w:val="single" w:sz="4" w:space="0" w:color="000000"/>
              <w:left w:val="single" w:sz="4" w:space="0" w:color="000000"/>
            </w:tcBorders>
            <w:shd w:color="auto" w:fill="FFFFFF" w:val="clear"/>
            <w:vAlign w:val="center"/>
          </w:tcPr>
          <w:p>
            <w:pPr>
              <w:pStyle w:val="21"/>
              <w:widowControl w:val="false"/>
              <w:shd w:val="clear" w:color="auto" w:fill="auto"/>
              <w:spacing w:lineRule="exact" w:line="210"/>
              <w:ind w:left="140" w:hanging="0"/>
              <w:jc w:val="left"/>
              <w:rPr/>
            </w:pPr>
            <w:r>
              <w:rPr>
                <w:rStyle w:val="2105pt"/>
                <w:sz w:val="26"/>
                <w:szCs w:val="26"/>
              </w:rPr>
              <w:t>10</w:t>
            </w:r>
          </w:p>
        </w:tc>
        <w:tc>
          <w:tcPr>
            <w:tcW w:w="5452"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sz w:val="26"/>
                <w:szCs w:val="26"/>
              </w:rPr>
              <w:t>Снизить давление до 3 атм.</w:t>
            </w:r>
          </w:p>
        </w:tc>
        <w:tc>
          <w:tcPr>
            <w:tcW w:w="1662"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sz w:val="26"/>
                <w:szCs w:val="26"/>
              </w:rPr>
              <w:t>17.00</w:t>
            </w:r>
          </w:p>
        </w:tc>
        <w:tc>
          <w:tcPr>
            <w:tcW w:w="1739" w:type="dxa"/>
            <w:tcBorders>
              <w:top w:val="single" w:sz="4" w:space="0" w:color="000000"/>
              <w:left w:val="single" w:sz="4" w:space="0" w:color="000000"/>
              <w:right w:val="single" w:sz="4" w:space="0" w:color="000000"/>
            </w:tcBorders>
            <w:shd w:color="auto" w:fill="FFFFFF" w:val="clear"/>
            <w:vAlign w:val="bottom"/>
          </w:tcPr>
          <w:p>
            <w:pPr>
              <w:pStyle w:val="21"/>
              <w:widowControl w:val="false"/>
              <w:shd w:val="clear" w:color="auto" w:fill="auto"/>
              <w:spacing w:lineRule="exact" w:line="210" w:before="0" w:after="60"/>
              <w:ind w:hanging="0"/>
              <w:rPr/>
            </w:pPr>
            <w:r>
              <w:rPr>
                <w:rStyle w:val="2105pt"/>
                <w:sz w:val="26"/>
                <w:szCs w:val="26"/>
              </w:rPr>
              <w:t>Мастер</w:t>
            </w:r>
          </w:p>
          <w:p>
            <w:pPr>
              <w:pStyle w:val="21"/>
              <w:widowControl w:val="false"/>
              <w:shd w:val="clear" w:color="auto" w:fill="auto"/>
              <w:spacing w:lineRule="exact" w:line="210" w:before="60" w:after="0"/>
              <w:ind w:hanging="0"/>
              <w:rPr/>
            </w:pPr>
            <w:r>
              <w:rPr>
                <w:rStyle w:val="2105pt"/>
                <w:sz w:val="26"/>
                <w:szCs w:val="26"/>
              </w:rPr>
              <w:t>котельной</w:t>
            </w:r>
          </w:p>
        </w:tc>
      </w:tr>
      <w:tr>
        <w:trPr>
          <w:trHeight w:val="926" w:hRule="exact"/>
        </w:trPr>
        <w:tc>
          <w:tcPr>
            <w:tcW w:w="548"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sz w:val="26"/>
                <w:szCs w:val="26"/>
              </w:rPr>
              <w:t>11</w:t>
            </w:r>
          </w:p>
        </w:tc>
        <w:tc>
          <w:tcPr>
            <w:tcW w:w="5452"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26"/>
              <w:ind w:hanging="0"/>
              <w:jc w:val="left"/>
              <w:rPr/>
            </w:pPr>
            <w:r>
              <w:rPr>
                <w:rStyle w:val="2105pt"/>
                <w:sz w:val="26"/>
                <w:szCs w:val="26"/>
              </w:rPr>
              <w:t>Сделать осмотр внутриквартальных тепловых сетей и осмотр</w:t>
              <w:br/>
              <w:t>тепловых узлов потребителей по объектам, которые провели</w:t>
              <w:br/>
              <w:t>ГИ. Обо всех обнаруженных утечках сообщать по тел. 8</w:t>
              <w:br/>
              <w:t>(39032) 2-00-28.</w:t>
            </w:r>
          </w:p>
        </w:tc>
        <w:tc>
          <w:tcPr>
            <w:tcW w:w="1662"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sz w:val="26"/>
                <w:szCs w:val="26"/>
              </w:rPr>
              <w:t>16.30-18.00</w:t>
            </w:r>
          </w:p>
        </w:tc>
        <w:tc>
          <w:tcPr>
            <w:tcW w:w="1739" w:type="dxa"/>
            <w:tcBorders>
              <w:top w:val="single" w:sz="4" w:space="0" w:color="000000"/>
              <w:left w:val="single" w:sz="4" w:space="0" w:color="000000"/>
              <w:right w:val="single" w:sz="4" w:space="0" w:color="000000"/>
            </w:tcBorders>
            <w:shd w:color="auto" w:fill="FFFFFF" w:val="clear"/>
          </w:tcPr>
          <w:p>
            <w:pPr>
              <w:pStyle w:val="21"/>
              <w:widowControl w:val="false"/>
              <w:shd w:val="clear" w:color="auto" w:fill="auto"/>
              <w:spacing w:lineRule="exact" w:line="210" w:before="0" w:after="60"/>
              <w:ind w:hanging="0"/>
              <w:rPr/>
            </w:pPr>
            <w:r>
              <w:rPr>
                <w:rStyle w:val="2105pt"/>
                <w:sz w:val="26"/>
                <w:szCs w:val="26"/>
              </w:rPr>
              <w:t>Оперативный</w:t>
            </w:r>
          </w:p>
          <w:p>
            <w:pPr>
              <w:pStyle w:val="21"/>
              <w:widowControl w:val="false"/>
              <w:shd w:val="clear" w:color="auto" w:fill="auto"/>
              <w:spacing w:lineRule="exact" w:line="210" w:before="60" w:after="0"/>
              <w:ind w:hanging="0"/>
              <w:rPr/>
            </w:pPr>
            <w:r>
              <w:rPr>
                <w:rStyle w:val="2105pt"/>
                <w:sz w:val="26"/>
                <w:szCs w:val="26"/>
              </w:rPr>
              <w:t>персонал</w:t>
            </w:r>
          </w:p>
        </w:tc>
      </w:tr>
      <w:tr>
        <w:trPr>
          <w:trHeight w:val="480" w:hRule="exact"/>
        </w:trPr>
        <w:tc>
          <w:tcPr>
            <w:tcW w:w="548" w:type="dxa"/>
            <w:tcBorders>
              <w:top w:val="single" w:sz="4" w:space="0" w:color="000000"/>
              <w:left w:val="single" w:sz="4" w:space="0" w:color="000000"/>
            </w:tcBorders>
            <w:shd w:color="auto" w:fill="FFFFFF" w:val="clear"/>
            <w:vAlign w:val="center"/>
          </w:tcPr>
          <w:p>
            <w:pPr>
              <w:pStyle w:val="21"/>
              <w:widowControl w:val="false"/>
              <w:shd w:val="clear" w:color="auto" w:fill="auto"/>
              <w:spacing w:lineRule="exact" w:line="210"/>
              <w:ind w:left="140" w:hanging="0"/>
              <w:jc w:val="left"/>
              <w:rPr/>
            </w:pPr>
            <w:r>
              <w:rPr>
                <w:rStyle w:val="2105pt"/>
                <w:sz w:val="26"/>
                <w:szCs w:val="26"/>
              </w:rPr>
              <w:t>12</w:t>
            </w:r>
          </w:p>
        </w:tc>
        <w:tc>
          <w:tcPr>
            <w:tcW w:w="5452"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sz w:val="26"/>
                <w:szCs w:val="26"/>
              </w:rPr>
              <w:t>Остановить котельную на ремонт.</w:t>
            </w:r>
          </w:p>
        </w:tc>
        <w:tc>
          <w:tcPr>
            <w:tcW w:w="1662"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40"/>
              <w:ind w:hanging="0"/>
              <w:jc w:val="left"/>
              <w:rPr/>
            </w:pPr>
            <w:r>
              <w:rPr>
                <w:rStyle w:val="2105pt"/>
                <w:sz w:val="26"/>
                <w:szCs w:val="26"/>
              </w:rPr>
              <w:t>18:00 по</w:t>
              <w:br/>
              <w:t>распоряжению</w:t>
            </w:r>
          </w:p>
        </w:tc>
        <w:tc>
          <w:tcPr>
            <w:tcW w:w="1739" w:type="dxa"/>
            <w:tcBorders>
              <w:top w:val="single" w:sz="4" w:space="0" w:color="000000"/>
              <w:left w:val="single" w:sz="4" w:space="0" w:color="000000"/>
              <w:right w:val="single" w:sz="4" w:space="0" w:color="000000"/>
            </w:tcBorders>
            <w:shd w:color="auto" w:fill="FFFFFF" w:val="clear"/>
            <w:vAlign w:val="bottom"/>
          </w:tcPr>
          <w:p>
            <w:pPr>
              <w:pStyle w:val="21"/>
              <w:widowControl w:val="false"/>
              <w:shd w:val="clear" w:color="auto" w:fill="auto"/>
              <w:spacing w:lineRule="exact" w:line="210" w:before="0" w:after="60"/>
              <w:ind w:hanging="0"/>
              <w:rPr/>
            </w:pPr>
            <w:r>
              <w:rPr>
                <w:rStyle w:val="2105pt"/>
                <w:sz w:val="26"/>
                <w:szCs w:val="26"/>
              </w:rPr>
              <w:t>Мастер</w:t>
            </w:r>
          </w:p>
          <w:p>
            <w:pPr>
              <w:pStyle w:val="21"/>
              <w:widowControl w:val="false"/>
              <w:shd w:val="clear" w:color="auto" w:fill="auto"/>
              <w:spacing w:lineRule="exact" w:line="210" w:before="60" w:after="0"/>
              <w:ind w:hanging="0"/>
              <w:rPr/>
            </w:pPr>
            <w:r>
              <w:rPr>
                <w:rStyle w:val="2105pt"/>
                <w:sz w:val="26"/>
                <w:szCs w:val="26"/>
              </w:rPr>
              <w:t>котельной</w:t>
            </w:r>
          </w:p>
        </w:tc>
      </w:tr>
      <w:tr>
        <w:trPr>
          <w:trHeight w:val="499" w:hRule="exact"/>
        </w:trPr>
        <w:tc>
          <w:tcPr>
            <w:tcW w:w="548" w:type="dxa"/>
            <w:tcBorders>
              <w:top w:val="single" w:sz="4" w:space="0" w:color="000000"/>
              <w:left w:val="single" w:sz="4" w:space="0" w:color="000000"/>
              <w:bottom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sz w:val="26"/>
                <w:szCs w:val="26"/>
              </w:rPr>
              <w:t>13</w:t>
            </w:r>
          </w:p>
        </w:tc>
        <w:tc>
          <w:tcPr>
            <w:tcW w:w="5452" w:type="dxa"/>
            <w:tcBorders>
              <w:top w:val="single" w:sz="4" w:space="0" w:color="000000"/>
              <w:left w:val="single" w:sz="4" w:space="0" w:color="000000"/>
              <w:bottom w:val="single" w:sz="4" w:space="0" w:color="000000"/>
            </w:tcBorders>
            <w:shd w:color="auto" w:fill="FFFFFF" w:val="clear"/>
            <w:vAlign w:val="bottom"/>
          </w:tcPr>
          <w:p>
            <w:pPr>
              <w:pStyle w:val="21"/>
              <w:widowControl w:val="false"/>
              <w:shd w:val="clear" w:color="auto" w:fill="auto"/>
              <w:spacing w:lineRule="exact" w:line="230"/>
              <w:ind w:hanging="0"/>
              <w:jc w:val="left"/>
              <w:rPr/>
            </w:pPr>
            <w:r>
              <w:rPr>
                <w:rStyle w:val="2105pt"/>
                <w:sz w:val="26"/>
                <w:szCs w:val="26"/>
              </w:rPr>
              <w:t>Предоставить дефектные ведомости на участки тепловых</w:t>
              <w:br/>
              <w:t>сетей не выдержавших ГИ</w:t>
            </w:r>
          </w:p>
        </w:tc>
        <w:tc>
          <w:tcPr>
            <w:tcW w:w="1662" w:type="dxa"/>
            <w:tcBorders>
              <w:top w:val="single" w:sz="4" w:space="0" w:color="000000"/>
              <w:left w:val="single" w:sz="4" w:space="0" w:color="000000"/>
              <w:bottom w:val="single" w:sz="4" w:space="0" w:color="000000"/>
            </w:tcBorders>
            <w:shd w:color="auto" w:fill="FFFFFF" w:val="clear"/>
            <w:vAlign w:val="bottom"/>
          </w:tcPr>
          <w:p>
            <w:pPr>
              <w:pStyle w:val="21"/>
              <w:widowControl w:val="false"/>
              <w:shd w:val="clear" w:color="auto" w:fill="auto"/>
              <w:spacing w:lineRule="exact" w:line="235"/>
              <w:ind w:hanging="0"/>
              <w:jc w:val="left"/>
              <w:rPr/>
            </w:pPr>
            <w:r>
              <w:rPr>
                <w:rStyle w:val="2105pt"/>
                <w:sz w:val="26"/>
                <w:szCs w:val="26"/>
              </w:rPr>
              <w:t>В течении 3</w:t>
              <w:br/>
              <w:t>дней после ГИ</w:t>
            </w:r>
          </w:p>
        </w:tc>
        <w:tc>
          <w:tcPr>
            <w:tcW w:w="1739" w:type="dxa"/>
            <w:tcBorders>
              <w:top w:val="single" w:sz="4" w:space="0" w:color="000000"/>
              <w:left w:val="single" w:sz="4" w:space="0" w:color="000000"/>
              <w:bottom w:val="single" w:sz="4" w:space="0" w:color="000000"/>
              <w:right w:val="single" w:sz="4" w:space="0" w:color="000000"/>
            </w:tcBorders>
            <w:shd w:color="auto" w:fill="FFFFFF" w:val="clear"/>
          </w:tcPr>
          <w:p>
            <w:pPr>
              <w:pStyle w:val="21"/>
              <w:widowControl w:val="false"/>
              <w:shd w:val="clear" w:color="auto" w:fill="auto"/>
              <w:spacing w:lineRule="exact" w:line="210"/>
              <w:ind w:hanging="0"/>
              <w:rPr/>
            </w:pPr>
            <w:r>
              <w:rPr>
                <w:rStyle w:val="2105pt"/>
                <w:sz w:val="26"/>
                <w:szCs w:val="26"/>
              </w:rPr>
              <w:t>Мастер котельной</w:t>
            </w:r>
          </w:p>
        </w:tc>
      </w:tr>
    </w:tbl>
    <w:p>
      <w:pPr>
        <w:pStyle w:val="Normal"/>
        <w:rPr>
          <w:sz w:val="26"/>
          <w:szCs w:val="26"/>
        </w:rPr>
      </w:pPr>
      <w:r>
        <w:rPr>
          <w:sz w:val="26"/>
          <w:szCs w:val="26"/>
        </w:rPr>
      </w:r>
    </w:p>
    <w:p>
      <w:pPr>
        <w:pStyle w:val="21"/>
        <w:shd w:val="clear" w:color="auto" w:fill="auto"/>
        <w:spacing w:lineRule="exact" w:line="293"/>
        <w:ind w:left="2600" w:right="2780" w:firstLine="900"/>
        <w:jc w:val="center"/>
        <w:rPr>
          <w:sz w:val="26"/>
          <w:szCs w:val="26"/>
        </w:rPr>
      </w:pPr>
      <w:r>
        <w:rPr>
          <w:sz w:val="26"/>
          <w:szCs w:val="26"/>
        </w:rPr>
      </w:r>
    </w:p>
    <w:p>
      <w:pPr>
        <w:pStyle w:val="Normal"/>
        <w:tabs>
          <w:tab w:val="clear" w:pos="708"/>
          <w:tab w:val="left" w:pos="5843" w:leader="underscore"/>
        </w:tabs>
        <w:spacing w:lineRule="exact" w:line="240" w:before="33" w:after="33"/>
        <w:ind w:hanging="0"/>
        <w:jc w:val="center"/>
        <w:rPr>
          <w:sz w:val="26"/>
          <w:szCs w:val="26"/>
        </w:rPr>
      </w:pPr>
      <w:r>
        <w:rPr>
          <w:b/>
          <w:bCs/>
          <w:color w:val="000000"/>
          <w:sz w:val="26"/>
          <w:szCs w:val="26"/>
        </w:rPr>
        <w:t xml:space="preserve">Раздел 15. График проведения противоаварийных и противопожарных тренировок </w:t>
      </w:r>
      <w:r>
        <w:rPr>
          <w:b/>
          <w:sz w:val="26"/>
          <w:szCs w:val="26"/>
        </w:rPr>
        <w:t>для оперативного, оперативно-ремонтного, ремонтного персонала,</w:t>
      </w:r>
    </w:p>
    <w:p>
      <w:pPr>
        <w:pStyle w:val="Normal"/>
        <w:tabs>
          <w:tab w:val="clear" w:pos="708"/>
          <w:tab w:val="left" w:pos="5843" w:leader="underscore"/>
        </w:tabs>
        <w:spacing w:lineRule="exact" w:line="240" w:before="33" w:after="33"/>
        <w:ind w:hanging="0"/>
        <w:jc w:val="center"/>
        <w:rPr>
          <w:sz w:val="26"/>
          <w:szCs w:val="26"/>
        </w:rPr>
      </w:pPr>
      <w:r>
        <w:rPr>
          <w:b/>
          <w:sz w:val="26"/>
          <w:szCs w:val="26"/>
        </w:rPr>
        <w:t>оперативных руководителей МКП «ЖКХ Усть- Абаканского района»</w:t>
      </w:r>
    </w:p>
    <w:p>
      <w:pPr>
        <w:pStyle w:val="Normal"/>
        <w:tabs>
          <w:tab w:val="clear" w:pos="708"/>
          <w:tab w:val="left" w:pos="5790" w:leader="none"/>
        </w:tabs>
        <w:spacing w:lineRule="auto" w:line="276" w:before="0" w:after="200"/>
        <w:ind w:hanging="0"/>
        <w:contextualSpacing/>
        <w:jc w:val="center"/>
        <w:rPr>
          <w:sz w:val="26"/>
          <w:szCs w:val="26"/>
        </w:rPr>
      </w:pPr>
      <w:r>
        <w:rPr>
          <w:b/>
          <w:sz w:val="26"/>
          <w:szCs w:val="26"/>
        </w:rPr>
        <w:t>на отопительный период 2026г.-2027г.</w:t>
      </w:r>
    </w:p>
    <w:p>
      <w:pPr>
        <w:pStyle w:val="Normal"/>
        <w:tabs>
          <w:tab w:val="clear" w:pos="708"/>
          <w:tab w:val="left" w:pos="5790" w:leader="none"/>
        </w:tabs>
        <w:spacing w:lineRule="auto" w:line="276" w:before="0" w:after="200"/>
        <w:ind w:hanging="0"/>
        <w:contextualSpacing/>
        <w:jc w:val="center"/>
        <w:rPr>
          <w:b/>
          <w:b/>
          <w:sz w:val="26"/>
          <w:szCs w:val="26"/>
        </w:rPr>
      </w:pPr>
      <w:r>
        <w:rPr>
          <w:b/>
          <w:sz w:val="26"/>
          <w:szCs w:val="26"/>
        </w:rPr>
      </w:r>
    </w:p>
    <w:p>
      <w:pPr>
        <w:pStyle w:val="Normal"/>
        <w:tabs>
          <w:tab w:val="clear" w:pos="708"/>
          <w:tab w:val="left" w:pos="5790" w:leader="none"/>
        </w:tabs>
        <w:spacing w:lineRule="auto" w:line="276" w:before="0" w:after="200"/>
        <w:ind w:hanging="0"/>
        <w:contextualSpacing/>
        <w:jc w:val="both"/>
        <w:rPr>
          <w:sz w:val="26"/>
          <w:szCs w:val="26"/>
        </w:rPr>
      </w:pPr>
      <w:r>
        <w:rPr>
          <w:sz w:val="26"/>
          <w:szCs w:val="26"/>
        </w:rPr>
        <w:t>15.1 Противоаварийные тренировки    с оперативным, оперативно-ремонтным, ремонтным персоналом проводятся не реже чем 1 раз в квартал, обязательно с записью в журнале противоаварийных тренировок.</w:t>
      </w:r>
    </w:p>
    <w:p>
      <w:pPr>
        <w:pStyle w:val="Normal"/>
        <w:tabs>
          <w:tab w:val="clear" w:pos="708"/>
          <w:tab w:val="left" w:pos="5790" w:leader="none"/>
        </w:tabs>
        <w:spacing w:lineRule="auto" w:line="276" w:before="0" w:after="200"/>
        <w:ind w:hanging="0"/>
        <w:contextualSpacing/>
        <w:jc w:val="both"/>
        <w:rPr>
          <w:sz w:val="26"/>
          <w:szCs w:val="26"/>
        </w:rPr>
      </w:pPr>
      <w:r>
        <w:rPr>
          <w:sz w:val="26"/>
          <w:szCs w:val="26"/>
        </w:rPr>
        <w:t>15.1.1. Ответственные за противоаварийные тренировки (или руководитель тренировки )  на ПУ- руководители работ- мастера производственных участков, обслуживающих оборудование и трубопроводы водоснабжения ХВС и теплоснабжения.</w:t>
      </w:r>
    </w:p>
    <w:p>
      <w:pPr>
        <w:pStyle w:val="Normal"/>
        <w:tabs>
          <w:tab w:val="clear" w:pos="708"/>
          <w:tab w:val="left" w:pos="5790" w:leader="none"/>
        </w:tabs>
        <w:spacing w:lineRule="auto" w:line="276" w:before="0" w:after="200"/>
        <w:ind w:hanging="0"/>
        <w:contextualSpacing/>
        <w:jc w:val="both"/>
        <w:rPr>
          <w:sz w:val="26"/>
          <w:szCs w:val="26"/>
        </w:rPr>
      </w:pPr>
      <w:r>
        <w:rPr>
          <w:sz w:val="26"/>
          <w:szCs w:val="26"/>
        </w:rPr>
        <w:t>15.2. Противопожарные тренировки со всеми работниками проводить не реже    1 раза в полгода.</w:t>
      </w:r>
    </w:p>
    <w:p>
      <w:pPr>
        <w:pStyle w:val="Normal"/>
        <w:tabs>
          <w:tab w:val="clear" w:pos="708"/>
          <w:tab w:val="left" w:pos="5790" w:leader="none"/>
        </w:tabs>
        <w:spacing w:lineRule="auto" w:line="276" w:before="0" w:after="200"/>
        <w:ind w:hanging="0"/>
        <w:contextualSpacing/>
        <w:jc w:val="both"/>
        <w:rPr>
          <w:sz w:val="26"/>
          <w:szCs w:val="26"/>
        </w:rPr>
      </w:pPr>
      <w:r>
        <w:rPr>
          <w:sz w:val="26"/>
          <w:szCs w:val="26"/>
        </w:rPr>
        <w:t>15.2.1 Ответственный за противопожарные тренировки (или руководитель тренировки ) на ПУ- мастера производственных участков, обслуживающих оборудование и трубопроводы холодного водоснабжения и теплоснабжения.</w:t>
      </w:r>
    </w:p>
    <w:p>
      <w:pPr>
        <w:pStyle w:val="Normal"/>
        <w:tabs>
          <w:tab w:val="clear" w:pos="708"/>
          <w:tab w:val="left" w:pos="5790" w:leader="none"/>
        </w:tabs>
        <w:spacing w:lineRule="auto" w:line="276" w:before="0" w:after="200"/>
        <w:ind w:hanging="0"/>
        <w:contextualSpacing/>
        <w:jc w:val="both"/>
        <w:rPr>
          <w:sz w:val="26"/>
          <w:szCs w:val="26"/>
        </w:rPr>
      </w:pPr>
      <w:r>
        <w:rPr>
          <w:color w:val="000000"/>
          <w:sz w:val="26"/>
          <w:szCs w:val="26"/>
        </w:rPr>
        <w:t>15.3. Ответственный за противоаварийные и противопожарные тренировки по предприятию (или руководитель противоаварийной и(или) противопожарной тренировки по предприятию) - заместитель директора по производственным вопросам.</w:t>
      </w:r>
    </w:p>
    <w:p>
      <w:pPr>
        <w:pStyle w:val="Normal"/>
        <w:tabs>
          <w:tab w:val="clear" w:pos="708"/>
          <w:tab w:val="left" w:pos="5790" w:leader="none"/>
        </w:tabs>
        <w:spacing w:lineRule="auto" w:line="276" w:before="0" w:after="200"/>
        <w:ind w:hanging="0"/>
        <w:contextualSpacing/>
        <w:jc w:val="center"/>
        <w:rPr>
          <w:b/>
          <w:b/>
          <w:sz w:val="26"/>
          <w:szCs w:val="26"/>
        </w:rPr>
      </w:pPr>
      <w:r>
        <w:rPr>
          <w:b/>
          <w:sz w:val="26"/>
          <w:szCs w:val="26"/>
        </w:rPr>
      </w:r>
    </w:p>
    <w:tbl>
      <w:tblPr>
        <w:tblW w:w="9390" w:type="dxa"/>
        <w:jc w:val="left"/>
        <w:tblInd w:w="195" w:type="dxa"/>
        <w:tblLayout w:type="fixed"/>
        <w:tblCellMar>
          <w:top w:w="0" w:type="dxa"/>
          <w:left w:w="103" w:type="dxa"/>
          <w:bottom w:w="0" w:type="dxa"/>
          <w:right w:w="108" w:type="dxa"/>
        </w:tblCellMar>
        <w:tblLook w:val="04a0"/>
      </w:tblPr>
      <w:tblGrid>
        <w:gridCol w:w="675"/>
        <w:gridCol w:w="3739"/>
        <w:gridCol w:w="2513"/>
        <w:gridCol w:w="2462"/>
      </w:tblGrid>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790" w:leader="none"/>
              </w:tabs>
              <w:spacing w:before="0" w:after="0"/>
              <w:ind w:hanging="0"/>
              <w:contextualSpacing/>
              <w:jc w:val="center"/>
              <w:rPr/>
            </w:pPr>
            <w:r>
              <w:rPr>
                <w:b/>
                <w:sz w:val="26"/>
                <w:szCs w:val="26"/>
                <w:lang w:val="en-US"/>
              </w:rPr>
              <w:t>№</w:t>
            </w:r>
          </w:p>
          <w:p>
            <w:pPr>
              <w:pStyle w:val="Normal"/>
              <w:widowControl w:val="false"/>
              <w:tabs>
                <w:tab w:val="clear" w:pos="708"/>
                <w:tab w:val="left" w:pos="5790" w:leader="none"/>
              </w:tabs>
              <w:spacing w:before="0" w:after="0"/>
              <w:ind w:hanging="0"/>
              <w:contextualSpacing/>
              <w:jc w:val="center"/>
              <w:rPr/>
            </w:pPr>
            <w:r>
              <w:rPr>
                <w:b/>
                <w:sz w:val="26"/>
                <w:szCs w:val="26"/>
              </w:rPr>
              <w:t>п/п</w:t>
            </w:r>
          </w:p>
          <w:p>
            <w:pPr>
              <w:pStyle w:val="Normal"/>
              <w:widowControl w:val="false"/>
              <w:tabs>
                <w:tab w:val="clear" w:pos="708"/>
                <w:tab w:val="left" w:pos="5790" w:leader="none"/>
              </w:tabs>
              <w:spacing w:before="0" w:after="0"/>
              <w:ind w:hanging="0"/>
              <w:contextualSpacing/>
              <w:jc w:val="center"/>
              <w:rPr>
                <w:b/>
                <w:b/>
              </w:rPr>
            </w:pPr>
            <w:r>
              <w:rPr>
                <w:b/>
              </w:rPr>
            </w:r>
          </w:p>
        </w:tc>
        <w:tc>
          <w:tcPr>
            <w:tcW w:w="3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790" w:leader="none"/>
              </w:tabs>
              <w:spacing w:before="0" w:after="0"/>
              <w:ind w:hanging="0"/>
              <w:contextualSpacing/>
              <w:jc w:val="center"/>
              <w:rPr>
                <w:sz w:val="26"/>
                <w:szCs w:val="26"/>
              </w:rPr>
            </w:pPr>
            <w:r>
              <w:rPr>
                <w:b/>
                <w:sz w:val="26"/>
                <w:szCs w:val="26"/>
              </w:rPr>
              <w:t>Наименование объекта тренировок-</w:t>
            </w:r>
          </w:p>
          <w:p>
            <w:pPr>
              <w:pStyle w:val="Normal"/>
              <w:widowControl w:val="false"/>
              <w:tabs>
                <w:tab w:val="clear" w:pos="708"/>
                <w:tab w:val="left" w:pos="5790" w:leader="none"/>
              </w:tabs>
              <w:spacing w:before="0" w:after="0"/>
              <w:ind w:hanging="0"/>
              <w:contextualSpacing/>
              <w:jc w:val="center"/>
              <w:rPr>
                <w:sz w:val="26"/>
                <w:szCs w:val="26"/>
              </w:rPr>
            </w:pPr>
            <w:r>
              <w:rPr>
                <w:b/>
                <w:sz w:val="26"/>
                <w:szCs w:val="26"/>
              </w:rPr>
              <w:t>Производственный участок</w:t>
            </w:r>
          </w:p>
        </w:tc>
        <w:tc>
          <w:tcPr>
            <w:tcW w:w="25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790" w:leader="none"/>
              </w:tabs>
              <w:spacing w:before="0" w:after="0"/>
              <w:ind w:hanging="0"/>
              <w:contextualSpacing/>
              <w:jc w:val="center"/>
              <w:rPr>
                <w:sz w:val="26"/>
                <w:szCs w:val="26"/>
              </w:rPr>
            </w:pPr>
            <w:r>
              <w:rPr>
                <w:b/>
                <w:sz w:val="26"/>
                <w:szCs w:val="26"/>
              </w:rPr>
              <w:t>Сроки проведения</w:t>
            </w:r>
          </w:p>
          <w:p>
            <w:pPr>
              <w:pStyle w:val="Normal"/>
              <w:widowControl w:val="false"/>
              <w:tabs>
                <w:tab w:val="clear" w:pos="708"/>
                <w:tab w:val="left" w:pos="5790" w:leader="none"/>
              </w:tabs>
              <w:spacing w:before="0" w:after="0"/>
              <w:ind w:hanging="0"/>
              <w:contextualSpacing/>
              <w:jc w:val="center"/>
              <w:rPr>
                <w:sz w:val="26"/>
                <w:szCs w:val="26"/>
              </w:rPr>
            </w:pPr>
            <w:r>
              <w:rPr>
                <w:b/>
                <w:sz w:val="26"/>
                <w:szCs w:val="26"/>
              </w:rPr>
              <w:t>Противоаварийной тренировки</w:t>
            </w:r>
          </w:p>
        </w:tc>
        <w:tc>
          <w:tcPr>
            <w:tcW w:w="24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790" w:leader="none"/>
              </w:tabs>
              <w:spacing w:before="0" w:after="0"/>
              <w:ind w:hanging="0"/>
              <w:contextualSpacing/>
              <w:jc w:val="center"/>
              <w:rPr>
                <w:sz w:val="26"/>
                <w:szCs w:val="26"/>
              </w:rPr>
            </w:pPr>
            <w:r>
              <w:rPr>
                <w:b/>
                <w:sz w:val="26"/>
                <w:szCs w:val="26"/>
              </w:rPr>
              <w:t>Сроки проведения</w:t>
            </w:r>
          </w:p>
          <w:p>
            <w:pPr>
              <w:pStyle w:val="Normal"/>
              <w:widowControl w:val="false"/>
              <w:tabs>
                <w:tab w:val="clear" w:pos="708"/>
                <w:tab w:val="left" w:pos="5790" w:leader="none"/>
              </w:tabs>
              <w:spacing w:before="0" w:after="0"/>
              <w:ind w:hanging="0"/>
              <w:contextualSpacing/>
              <w:jc w:val="center"/>
              <w:rPr>
                <w:sz w:val="26"/>
                <w:szCs w:val="26"/>
              </w:rPr>
            </w:pPr>
            <w:r>
              <w:rPr>
                <w:b/>
                <w:sz w:val="26"/>
                <w:szCs w:val="26"/>
              </w:rPr>
              <w:t>Противопожарной</w:t>
            </w:r>
          </w:p>
          <w:p>
            <w:pPr>
              <w:pStyle w:val="Normal"/>
              <w:widowControl w:val="false"/>
              <w:tabs>
                <w:tab w:val="clear" w:pos="708"/>
                <w:tab w:val="left" w:pos="5790" w:leader="none"/>
              </w:tabs>
              <w:spacing w:before="0" w:after="0"/>
              <w:ind w:hanging="0"/>
              <w:contextualSpacing/>
              <w:jc w:val="center"/>
              <w:rPr>
                <w:sz w:val="26"/>
                <w:szCs w:val="26"/>
              </w:rPr>
            </w:pPr>
            <w:r>
              <w:rPr>
                <w:b/>
                <w:sz w:val="26"/>
                <w:szCs w:val="26"/>
              </w:rPr>
              <w:t>тренировки</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790" w:leader="none"/>
              </w:tabs>
              <w:spacing w:before="0" w:after="0"/>
              <w:ind w:hanging="0"/>
              <w:contextualSpacing/>
              <w:jc w:val="center"/>
              <w:rPr>
                <w:sz w:val="26"/>
                <w:szCs w:val="26"/>
              </w:rPr>
            </w:pPr>
            <w:r>
              <w:rPr>
                <w:b/>
                <w:sz w:val="26"/>
                <w:szCs w:val="26"/>
              </w:rPr>
              <w:t>1</w:t>
            </w:r>
          </w:p>
        </w:tc>
        <w:tc>
          <w:tcPr>
            <w:tcW w:w="3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sz w:val="26"/>
                <w:szCs w:val="26"/>
              </w:rPr>
            </w:pPr>
            <w:r>
              <w:rPr>
                <w:sz w:val="26"/>
                <w:szCs w:val="26"/>
              </w:rPr>
              <w:t>Производственный участок №6 Доможаков</w:t>
            </w:r>
          </w:p>
        </w:tc>
        <w:tc>
          <w:tcPr>
            <w:tcW w:w="25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sz w:val="26"/>
                <w:szCs w:val="26"/>
                <w:u w:val="single"/>
              </w:rPr>
              <w:t>октябрь 2025г.</w:t>
            </w:r>
          </w:p>
          <w:p>
            <w:pPr>
              <w:pStyle w:val="Normal"/>
              <w:widowControl w:val="false"/>
              <w:ind w:hanging="0"/>
              <w:jc w:val="center"/>
              <w:rPr>
                <w:sz w:val="26"/>
                <w:szCs w:val="26"/>
              </w:rPr>
            </w:pPr>
            <w:r>
              <w:rPr>
                <w:sz w:val="26"/>
                <w:szCs w:val="26"/>
                <w:u w:val="single"/>
              </w:rPr>
              <w:t>март 2026г.</w:t>
            </w:r>
          </w:p>
          <w:p>
            <w:pPr>
              <w:pStyle w:val="Normal"/>
              <w:widowControl w:val="false"/>
              <w:ind w:hanging="0"/>
              <w:jc w:val="center"/>
              <w:rPr>
                <w:sz w:val="26"/>
                <w:szCs w:val="26"/>
              </w:rPr>
            </w:pPr>
            <w:r>
              <w:rPr>
                <w:sz w:val="26"/>
                <w:szCs w:val="26"/>
                <w:u w:val="single"/>
              </w:rPr>
              <w:t>май 2026г.</w:t>
            </w:r>
          </w:p>
        </w:tc>
        <w:tc>
          <w:tcPr>
            <w:tcW w:w="24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sz w:val="26"/>
                <w:szCs w:val="26"/>
                <w:u w:val="single"/>
              </w:rPr>
              <w:t>октябрь 2025г.</w:t>
            </w:r>
          </w:p>
          <w:p>
            <w:pPr>
              <w:pStyle w:val="Normal"/>
              <w:widowControl w:val="false"/>
              <w:ind w:hanging="0"/>
              <w:jc w:val="center"/>
              <w:rPr>
                <w:sz w:val="26"/>
                <w:szCs w:val="26"/>
              </w:rPr>
            </w:pPr>
            <w:r>
              <w:rPr>
                <w:sz w:val="26"/>
                <w:szCs w:val="26"/>
                <w:u w:val="single"/>
              </w:rPr>
              <w:t>апрель 2026г.</w:t>
            </w:r>
          </w:p>
        </w:tc>
      </w:tr>
    </w:tbl>
    <w:p>
      <w:pPr>
        <w:pStyle w:val="Normal"/>
        <w:widowControl w:val="false"/>
        <w:tabs>
          <w:tab w:val="clear" w:pos="708"/>
          <w:tab w:val="left" w:pos="5790" w:leader="none"/>
        </w:tabs>
        <w:spacing w:lineRule="auto" w:line="276" w:before="0" w:after="200"/>
        <w:ind w:hanging="0"/>
        <w:contextualSpacing/>
        <w:jc w:val="both"/>
        <w:rPr>
          <w:b/>
          <w:b/>
          <w:sz w:val="26"/>
          <w:szCs w:val="26"/>
        </w:rPr>
      </w:pPr>
      <w:r>
        <w:rPr>
          <w:b/>
          <w:sz w:val="26"/>
          <w:szCs w:val="26"/>
        </w:rPr>
      </w:r>
    </w:p>
    <w:p>
      <w:pPr>
        <w:pStyle w:val="Normal"/>
        <w:tabs>
          <w:tab w:val="clear" w:pos="708"/>
          <w:tab w:val="left" w:pos="5790" w:leader="none"/>
        </w:tabs>
        <w:spacing w:lineRule="auto" w:line="276" w:before="0" w:after="200"/>
        <w:ind w:hanging="0"/>
        <w:contextualSpacing/>
        <w:jc w:val="both"/>
        <w:rPr/>
      </w:pPr>
      <w:r>
        <w:rPr>
          <w:sz w:val="26"/>
          <w:szCs w:val="26"/>
        </w:rPr>
        <w:t xml:space="preserve">Примечание: </w:t>
      </w:r>
      <w:r>
        <w:rPr>
          <w:color w:val="000000"/>
          <w:sz w:val="26"/>
          <w:szCs w:val="26"/>
        </w:rPr>
        <w:t xml:space="preserve">Приказ от 14 декабря 2004 г. N 167 «Об утверждении методических рекомендаций по подготовке и проведению противоаварийных тренировок персонала теплоэнергетических организаций жилищно-коммунального хозяйства» - </w:t>
      </w:r>
      <w:r>
        <w:rPr>
          <w:bCs/>
          <w:color w:val="000000"/>
          <w:sz w:val="26"/>
          <w:szCs w:val="26"/>
        </w:rPr>
        <w:t xml:space="preserve">МЕТОДИЧЕСКИЕ РЕКОМЕНДАЦИИ ПО ПОДГОТОВКЕ И ПРОВЕДЕНИЮ ПРОТИВОАВАРИЙНЫХ ТРЕНИРОВОК ПЕРСОНАЛА ТЕПЛОЭНЕРГЕТИЧЕСКИХ ОРГАНИЗАЦИЙ </w:t>
      </w:r>
    </w:p>
    <w:p>
      <w:pPr>
        <w:pStyle w:val="Normal"/>
        <w:tabs>
          <w:tab w:val="clear" w:pos="708"/>
          <w:tab w:val="left" w:pos="5790" w:leader="none"/>
        </w:tabs>
        <w:spacing w:lineRule="auto" w:line="276" w:before="0" w:after="200"/>
        <w:ind w:hanging="0"/>
        <w:contextualSpacing/>
        <w:jc w:val="both"/>
        <w:rPr>
          <w:sz w:val="26"/>
          <w:szCs w:val="26"/>
        </w:rPr>
      </w:pPr>
      <w:r>
        <w:rPr>
          <w:bCs/>
          <w:color w:val="000000"/>
          <w:sz w:val="26"/>
          <w:szCs w:val="26"/>
        </w:rPr>
        <w:t>ЖИЛИЩНО-КОММУНАЛЬНОГО ХОЗЯЙСТВА , «</w:t>
      </w:r>
      <w:r>
        <w:rPr>
          <w:color w:val="000000"/>
          <w:sz w:val="26"/>
          <w:szCs w:val="26"/>
        </w:rPr>
        <w:t>Правила противопожарного режима в Российской Федерации» утв . П</w:t>
      </w:r>
      <w:r>
        <w:rPr>
          <w:bCs/>
          <w:color w:val="000000"/>
          <w:sz w:val="26"/>
          <w:szCs w:val="26"/>
        </w:rPr>
        <w:t>остановлением Правительства Российской Федерации от 16 сентября 2020 года N 1479.)</w:t>
      </w:r>
    </w:p>
    <w:p>
      <w:pPr>
        <w:pStyle w:val="ConsPlusNormal"/>
        <w:ind w:hanging="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hanging="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hanging="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hanging="0"/>
        <w:jc w:val="both"/>
        <w:rPr>
          <w:rFonts w:ascii="Times New Roman" w:hAnsi="Times New Roman" w:cs="Times New Roman"/>
          <w:sz w:val="26"/>
          <w:szCs w:val="26"/>
        </w:rPr>
      </w:pPr>
      <w:r>
        <w:rPr>
          <w:rFonts w:cs="Times New Roman" w:ascii="Times New Roman" w:hAnsi="Times New Roman"/>
          <w:sz w:val="26"/>
          <w:szCs w:val="26"/>
        </w:rPr>
      </w:r>
    </w:p>
    <w:p>
      <w:pPr>
        <w:pStyle w:val="Normal"/>
        <w:ind w:hanging="0"/>
        <w:rPr>
          <w:sz w:val="26"/>
          <w:szCs w:val="26"/>
        </w:rPr>
      </w:pPr>
      <w:r>
        <w:rPr>
          <w:sz w:val="26"/>
          <w:szCs w:val="26"/>
        </w:rPr>
      </w:r>
    </w:p>
    <w:tbl>
      <w:tblPr>
        <w:tblW w:w="10098" w:type="dxa"/>
        <w:jc w:val="left"/>
        <w:tblInd w:w="55" w:type="dxa"/>
        <w:tblLayout w:type="fixed"/>
        <w:tblCellMar>
          <w:top w:w="55" w:type="dxa"/>
          <w:left w:w="55" w:type="dxa"/>
          <w:bottom w:w="55" w:type="dxa"/>
          <w:right w:w="55" w:type="dxa"/>
        </w:tblCellMar>
        <w:tblLook w:val="04a0"/>
      </w:tblPr>
      <w:tblGrid>
        <w:gridCol w:w="4995"/>
        <w:gridCol w:w="2578"/>
        <w:gridCol w:w="2525"/>
      </w:tblGrid>
      <w:tr>
        <w:trPr>
          <w:trHeight w:val="1530" w:hRule="atLeast"/>
        </w:trPr>
        <w:tc>
          <w:tcPr>
            <w:tcW w:w="4995" w:type="dxa"/>
            <w:tcBorders/>
            <w:shd w:color="auto" w:fill="auto" w:val="clear"/>
          </w:tcPr>
          <w:p>
            <w:pPr>
              <w:pStyle w:val="Style17"/>
              <w:widowControl w:val="false"/>
              <w:spacing w:lineRule="auto" w:line="240" w:before="0" w:after="0"/>
              <w:ind w:hanging="0"/>
              <w:jc w:val="both"/>
              <w:rPr>
                <w:sz w:val="26"/>
                <w:szCs w:val="26"/>
              </w:rPr>
            </w:pPr>
            <w:r>
              <w:rPr>
                <w:sz w:val="26"/>
                <w:szCs w:val="26"/>
              </w:rPr>
              <w:t>Заместитель Главы Администрации Усть-Абаканского муниципального района Республики Хакасия по вопросам ЖКХ и строительства —руководитель Управления ЖКХ и строительства Администрации Усть-Абаканского муниципального района Республики Хакасия</w:t>
            </w:r>
          </w:p>
        </w:tc>
        <w:tc>
          <w:tcPr>
            <w:tcW w:w="2578" w:type="dxa"/>
            <w:tcBorders/>
            <w:shd w:color="auto" w:fill="auto" w:val="clear"/>
          </w:tcPr>
          <w:p>
            <w:pPr>
              <w:pStyle w:val="Style23"/>
              <w:widowControl w:val="false"/>
              <w:snapToGrid w:val="false"/>
              <w:rPr>
                <w:sz w:val="26"/>
                <w:szCs w:val="26"/>
              </w:rPr>
            </w:pPr>
            <w:r>
              <w:rPr>
                <w:sz w:val="26"/>
                <w:szCs w:val="26"/>
              </w:rPr>
            </w:r>
          </w:p>
        </w:tc>
        <w:tc>
          <w:tcPr>
            <w:tcW w:w="2525" w:type="dxa"/>
            <w:tcBorders/>
            <w:shd w:color="auto" w:fill="auto" w:val="clear"/>
          </w:tcPr>
          <w:p>
            <w:pPr>
              <w:pStyle w:val="Style23"/>
              <w:widowControl w:val="false"/>
              <w:snapToGrid w:val="false"/>
              <w:rPr>
                <w:sz w:val="26"/>
                <w:szCs w:val="26"/>
              </w:rPr>
            </w:pPr>
            <w:r>
              <w:rPr>
                <w:sz w:val="26"/>
                <w:szCs w:val="26"/>
              </w:rPr>
            </w:r>
          </w:p>
          <w:p>
            <w:pPr>
              <w:pStyle w:val="Style23"/>
              <w:widowControl w:val="false"/>
              <w:snapToGrid w:val="false"/>
              <w:rPr>
                <w:sz w:val="26"/>
                <w:szCs w:val="26"/>
              </w:rPr>
            </w:pPr>
            <w:r>
              <w:rPr>
                <w:sz w:val="26"/>
                <w:szCs w:val="26"/>
              </w:rPr>
            </w:r>
          </w:p>
          <w:p>
            <w:pPr>
              <w:pStyle w:val="Style23"/>
              <w:widowControl w:val="false"/>
              <w:snapToGrid w:val="false"/>
              <w:rPr>
                <w:sz w:val="26"/>
                <w:szCs w:val="26"/>
              </w:rPr>
            </w:pPr>
            <w:r>
              <w:rPr>
                <w:sz w:val="26"/>
                <w:szCs w:val="26"/>
              </w:rPr>
            </w:r>
          </w:p>
          <w:p>
            <w:pPr>
              <w:pStyle w:val="Style23"/>
              <w:widowControl w:val="false"/>
              <w:snapToGrid w:val="false"/>
              <w:rPr>
                <w:sz w:val="26"/>
                <w:szCs w:val="26"/>
              </w:rPr>
            </w:pPr>
            <w:r>
              <w:rPr>
                <w:sz w:val="26"/>
                <w:szCs w:val="26"/>
              </w:rPr>
            </w:r>
          </w:p>
          <w:p>
            <w:pPr>
              <w:pStyle w:val="Style23"/>
              <w:widowControl w:val="false"/>
              <w:snapToGrid w:val="false"/>
              <w:rPr>
                <w:sz w:val="26"/>
                <w:szCs w:val="26"/>
              </w:rPr>
            </w:pPr>
            <w:r>
              <w:rPr>
                <w:sz w:val="26"/>
                <w:szCs w:val="26"/>
              </w:rPr>
            </w:r>
          </w:p>
          <w:p>
            <w:pPr>
              <w:pStyle w:val="Style23"/>
              <w:widowControl w:val="false"/>
              <w:snapToGrid w:val="false"/>
              <w:rPr>
                <w:sz w:val="26"/>
                <w:szCs w:val="26"/>
              </w:rPr>
            </w:pPr>
            <w:r>
              <w:rPr>
                <w:sz w:val="26"/>
                <w:szCs w:val="26"/>
              </w:rPr>
            </w:r>
          </w:p>
          <w:p>
            <w:pPr>
              <w:pStyle w:val="Style23"/>
              <w:widowControl w:val="false"/>
              <w:jc w:val="right"/>
              <w:rPr>
                <w:sz w:val="26"/>
                <w:szCs w:val="26"/>
              </w:rPr>
            </w:pPr>
            <w:r>
              <w:rPr>
                <w:sz w:val="26"/>
                <w:szCs w:val="26"/>
              </w:rPr>
              <w:t>Т.В. Новикова</w:t>
            </w:r>
          </w:p>
        </w:tc>
      </w:tr>
    </w:tbl>
    <w:p>
      <w:pPr>
        <w:pStyle w:val="Normal"/>
        <w:rPr>
          <w:sz w:val="26"/>
          <w:szCs w:val="26"/>
        </w:rPr>
      </w:pPr>
      <w:r>
        <w:rPr>
          <w:sz w:val="26"/>
          <w:szCs w:val="26"/>
        </w:rPr>
      </w:r>
    </w:p>
    <w:p>
      <w:pPr>
        <w:pStyle w:val="Normal"/>
        <w:ind w:hanging="0"/>
        <w:jc w:val="both"/>
        <w:rPr>
          <w:sz w:val="26"/>
          <w:szCs w:val="26"/>
        </w:rPr>
      </w:pPr>
      <w:r>
        <w:rPr>
          <w:sz w:val="26"/>
          <w:szCs w:val="26"/>
        </w:rPr>
      </w:r>
    </w:p>
    <w:p>
      <w:pPr>
        <w:pStyle w:val="Normal"/>
        <w:rPr/>
      </w:pPr>
      <w:r>
        <w:rPr/>
      </w:r>
    </w:p>
    <w:sectPr>
      <w:type w:val="nextPage"/>
      <w:pgSz w:w="11906" w:h="16838"/>
      <w:pgMar w:left="992" w:right="851" w:gutter="0" w:header="0" w:top="964" w:footer="0" w:bottom="283"/>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alibri">
    <w:charset w:val="cc"/>
    <w:family w:val="roman"/>
    <w:pitch w:val="variable"/>
  </w:font>
  <w:font w:name="Arial">
    <w:charset w:val="cc"/>
    <w:family w:val="roman"/>
    <w:pitch w:val="variable"/>
  </w:font>
  <w:font w:name="Courier New">
    <w:charset w:val="cc"/>
    <w:family w:val="roman"/>
    <w:pitch w:val="variable"/>
  </w:font>
  <w:font w:name="Liberation Mono">
    <w:altName w:val="Courier New"/>
    <w:charset w:val="cc"/>
    <w:family w:val="roman"/>
    <w:pitch w:val="variable"/>
  </w:font>
  <w:font w:name="Cambri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786" w:hanging="36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92305"/>
    <w:pPr>
      <w:widowControl/>
      <w:suppressAutoHyphens w:val="true"/>
      <w:bidi w:val="0"/>
      <w:spacing w:before="0" w:after="0"/>
      <w:ind w:firstLine="709"/>
      <w:jc w:val="left"/>
    </w:pPr>
    <w:rPr>
      <w:rFonts w:ascii="Times New Roman" w:hAnsi="Times New Roman" w:eastAsia="Calibri" w:cs="Times New Roman"/>
      <w:color w:val="00000A"/>
      <w:kern w:val="0"/>
      <w:sz w:val="28"/>
      <w:szCs w:val="22"/>
      <w:lang w:val="ru-RU" w:eastAsia="en-US" w:bidi="ar-SA"/>
    </w:rPr>
  </w:style>
  <w:style w:type="character" w:styleId="DefaultParagraphFont" w:default="1">
    <w:name w:val="Default Paragraph Font"/>
    <w:uiPriority w:val="1"/>
    <w:semiHidden/>
    <w:unhideWhenUsed/>
    <w:qFormat/>
    <w:rPr/>
  </w:style>
  <w:style w:type="character" w:styleId="1" w:customStyle="1">
    <w:name w:val="Заголовок 1 Знак"/>
    <w:qFormat/>
    <w:rsid w:val="008a28c3"/>
    <w:rPr>
      <w:rFonts w:eastAsia="Times New Roman" w:cs="Times New Roman"/>
      <w:b/>
      <w:sz w:val="20"/>
      <w:szCs w:val="20"/>
      <w:lang w:eastAsia="ru-RU"/>
    </w:rPr>
  </w:style>
  <w:style w:type="character" w:styleId="WW8Num10z0" w:customStyle="1">
    <w:name w:val="WW8Num10z0"/>
    <w:qFormat/>
    <w:rsid w:val="00206643"/>
    <w:rPr/>
  </w:style>
  <w:style w:type="character" w:styleId="WW8Num10z1" w:customStyle="1">
    <w:name w:val="WW8Num10z1"/>
    <w:qFormat/>
    <w:rsid w:val="00206643"/>
    <w:rPr/>
  </w:style>
  <w:style w:type="character" w:styleId="WW8Num10z2" w:customStyle="1">
    <w:name w:val="WW8Num10z2"/>
    <w:qFormat/>
    <w:rsid w:val="00206643"/>
    <w:rPr/>
  </w:style>
  <w:style w:type="character" w:styleId="WW8Num10z3" w:customStyle="1">
    <w:name w:val="WW8Num10z3"/>
    <w:qFormat/>
    <w:rsid w:val="00206643"/>
    <w:rPr/>
  </w:style>
  <w:style w:type="character" w:styleId="WW8Num10z4" w:customStyle="1">
    <w:name w:val="WW8Num10z4"/>
    <w:qFormat/>
    <w:rsid w:val="00206643"/>
    <w:rPr/>
  </w:style>
  <w:style w:type="character" w:styleId="WW8Num10z5" w:customStyle="1">
    <w:name w:val="WW8Num10z5"/>
    <w:qFormat/>
    <w:rsid w:val="00206643"/>
    <w:rPr/>
  </w:style>
  <w:style w:type="character" w:styleId="WW8Num10z6" w:customStyle="1">
    <w:name w:val="WW8Num10z6"/>
    <w:qFormat/>
    <w:rsid w:val="00206643"/>
    <w:rPr/>
  </w:style>
  <w:style w:type="character" w:styleId="WW8Num10z7" w:customStyle="1">
    <w:name w:val="WW8Num10z7"/>
    <w:qFormat/>
    <w:rsid w:val="00206643"/>
    <w:rPr/>
  </w:style>
  <w:style w:type="character" w:styleId="WW8Num10z8" w:customStyle="1">
    <w:name w:val="WW8Num10z8"/>
    <w:qFormat/>
    <w:rsid w:val="00206643"/>
    <w:rPr/>
  </w:style>
  <w:style w:type="character" w:styleId="WW8Num11z0" w:customStyle="1">
    <w:name w:val="WW8Num11z0"/>
    <w:qFormat/>
    <w:rsid w:val="00206643"/>
    <w:rPr/>
  </w:style>
  <w:style w:type="character" w:styleId="WW8Num11z1" w:customStyle="1">
    <w:name w:val="WW8Num11z1"/>
    <w:qFormat/>
    <w:rsid w:val="00206643"/>
    <w:rPr/>
  </w:style>
  <w:style w:type="character" w:styleId="WW8Num11z2" w:customStyle="1">
    <w:name w:val="WW8Num11z2"/>
    <w:qFormat/>
    <w:rsid w:val="00206643"/>
    <w:rPr/>
  </w:style>
  <w:style w:type="character" w:styleId="WW8Num11z3" w:customStyle="1">
    <w:name w:val="WW8Num11z3"/>
    <w:qFormat/>
    <w:rsid w:val="00206643"/>
    <w:rPr/>
  </w:style>
  <w:style w:type="character" w:styleId="WW8Num11z4" w:customStyle="1">
    <w:name w:val="WW8Num11z4"/>
    <w:qFormat/>
    <w:rsid w:val="00206643"/>
    <w:rPr/>
  </w:style>
  <w:style w:type="character" w:styleId="WW8Num11z5" w:customStyle="1">
    <w:name w:val="WW8Num11z5"/>
    <w:qFormat/>
    <w:rsid w:val="00206643"/>
    <w:rPr/>
  </w:style>
  <w:style w:type="character" w:styleId="WW8Num11z6" w:customStyle="1">
    <w:name w:val="WW8Num11z6"/>
    <w:qFormat/>
    <w:rsid w:val="00206643"/>
    <w:rPr/>
  </w:style>
  <w:style w:type="character" w:styleId="WW8Num11z7" w:customStyle="1">
    <w:name w:val="WW8Num11z7"/>
    <w:qFormat/>
    <w:rsid w:val="00206643"/>
    <w:rPr/>
  </w:style>
  <w:style w:type="character" w:styleId="WW8Num11z8" w:customStyle="1">
    <w:name w:val="WW8Num11z8"/>
    <w:qFormat/>
    <w:rsid w:val="00206643"/>
    <w:rPr/>
  </w:style>
  <w:style w:type="character" w:styleId="WW8Num12z0" w:customStyle="1">
    <w:name w:val="WW8Num12z0"/>
    <w:qFormat/>
    <w:rsid w:val="00206643"/>
    <w:rPr/>
  </w:style>
  <w:style w:type="character" w:styleId="WW8Num12z1" w:customStyle="1">
    <w:name w:val="WW8Num12z1"/>
    <w:qFormat/>
    <w:rsid w:val="00206643"/>
    <w:rPr/>
  </w:style>
  <w:style w:type="character" w:styleId="WW8Num12z2" w:customStyle="1">
    <w:name w:val="WW8Num12z2"/>
    <w:qFormat/>
    <w:rsid w:val="00206643"/>
    <w:rPr/>
  </w:style>
  <w:style w:type="character" w:styleId="WW8Num12z3" w:customStyle="1">
    <w:name w:val="WW8Num12z3"/>
    <w:qFormat/>
    <w:rsid w:val="00206643"/>
    <w:rPr/>
  </w:style>
  <w:style w:type="character" w:styleId="WW8Num12z4" w:customStyle="1">
    <w:name w:val="WW8Num12z4"/>
    <w:qFormat/>
    <w:rsid w:val="00206643"/>
    <w:rPr/>
  </w:style>
  <w:style w:type="character" w:styleId="WW8Num12z5" w:customStyle="1">
    <w:name w:val="WW8Num12z5"/>
    <w:qFormat/>
    <w:rsid w:val="00206643"/>
    <w:rPr/>
  </w:style>
  <w:style w:type="character" w:styleId="WW8Num12z6" w:customStyle="1">
    <w:name w:val="WW8Num12z6"/>
    <w:qFormat/>
    <w:rsid w:val="00206643"/>
    <w:rPr/>
  </w:style>
  <w:style w:type="character" w:styleId="WW8Num12z7" w:customStyle="1">
    <w:name w:val="WW8Num12z7"/>
    <w:qFormat/>
    <w:rsid w:val="00206643"/>
    <w:rPr/>
  </w:style>
  <w:style w:type="character" w:styleId="WW8Num12z8" w:customStyle="1">
    <w:name w:val="WW8Num12z8"/>
    <w:qFormat/>
    <w:rsid w:val="00206643"/>
    <w:rPr/>
  </w:style>
  <w:style w:type="character" w:styleId="2" w:customStyle="1">
    <w:name w:val="Основной текст (2)_"/>
    <w:basedOn w:val="DefaultParagraphFont"/>
    <w:qFormat/>
    <w:rsid w:val="00206643"/>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105pt" w:customStyle="1">
    <w:name w:val="Основной текст (2) + 10;5 pt"/>
    <w:basedOn w:val="2"/>
    <w:qFormat/>
    <w:rsid w:val="00206643"/>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lang w:val="ru-RU" w:eastAsia="ru-RU" w:bidi="ru-RU"/>
    </w:rPr>
  </w:style>
  <w:style w:type="character" w:styleId="WW8Num5z0" w:customStyle="1">
    <w:name w:val="WW8Num5z0"/>
    <w:qFormat/>
    <w:rsid w:val="00206643"/>
    <w:rPr/>
  </w:style>
  <w:style w:type="character" w:styleId="WW8Num5z1" w:customStyle="1">
    <w:name w:val="WW8Num5z1"/>
    <w:qFormat/>
    <w:rsid w:val="00206643"/>
    <w:rPr>
      <w:rFonts w:cs="Times New Roman"/>
      <w:b/>
      <w:bCs/>
    </w:rPr>
  </w:style>
  <w:style w:type="character" w:styleId="WW8Num5z2" w:customStyle="1">
    <w:name w:val="WW8Num5z2"/>
    <w:qFormat/>
    <w:rsid w:val="00206643"/>
    <w:rPr/>
  </w:style>
  <w:style w:type="character" w:styleId="WW8Num5z3" w:customStyle="1">
    <w:name w:val="WW8Num5z3"/>
    <w:qFormat/>
    <w:rsid w:val="00206643"/>
    <w:rPr/>
  </w:style>
  <w:style w:type="character" w:styleId="WW8Num5z4" w:customStyle="1">
    <w:name w:val="WW8Num5z4"/>
    <w:qFormat/>
    <w:rsid w:val="00206643"/>
    <w:rPr/>
  </w:style>
  <w:style w:type="character" w:styleId="WW8Num5z5" w:customStyle="1">
    <w:name w:val="WW8Num5z5"/>
    <w:qFormat/>
    <w:rsid w:val="00206643"/>
    <w:rPr/>
  </w:style>
  <w:style w:type="character" w:styleId="WW8Num5z6" w:customStyle="1">
    <w:name w:val="WW8Num5z6"/>
    <w:qFormat/>
    <w:rsid w:val="00206643"/>
    <w:rPr/>
  </w:style>
  <w:style w:type="character" w:styleId="WW8Num5z7" w:customStyle="1">
    <w:name w:val="WW8Num5z7"/>
    <w:qFormat/>
    <w:rsid w:val="00206643"/>
    <w:rPr/>
  </w:style>
  <w:style w:type="character" w:styleId="WW8Num5z8" w:customStyle="1">
    <w:name w:val="WW8Num5z8"/>
    <w:qFormat/>
    <w:rsid w:val="00206643"/>
    <w:rPr/>
  </w:style>
  <w:style w:type="character" w:styleId="Style14" w:customStyle="1">
    <w:name w:val="Интернет-ссылка"/>
    <w:rsid w:val="00206643"/>
    <w:rPr>
      <w:color w:val="000080"/>
      <w:u w:val="single"/>
    </w:rPr>
  </w:style>
  <w:style w:type="character" w:styleId="Style15" w:customStyle="1">
    <w:name w:val="Текст выноски Знак"/>
    <w:basedOn w:val="DefaultParagraphFont"/>
    <w:uiPriority w:val="99"/>
    <w:semiHidden/>
    <w:qFormat/>
    <w:rsid w:val="00a904b9"/>
    <w:rPr>
      <w:rFonts w:ascii="Tahoma" w:hAnsi="Tahoma" w:cs="Tahoma"/>
      <w:color w:val="00000A"/>
      <w:sz w:val="16"/>
      <w:szCs w:val="16"/>
      <w:lang w:eastAsia="en-US"/>
    </w:rPr>
  </w:style>
  <w:style w:type="paragraph" w:styleId="Style16" w:customStyle="1">
    <w:name w:val="Заголовок"/>
    <w:basedOn w:val="Normal"/>
    <w:next w:val="Style17"/>
    <w:qFormat/>
    <w:rsid w:val="00206643"/>
    <w:pPr>
      <w:keepNext w:val="true"/>
      <w:spacing w:before="240" w:after="120"/>
    </w:pPr>
    <w:rPr>
      <w:rFonts w:ascii="Liberation Sans" w:hAnsi="Liberation Sans" w:eastAsia="Microsoft YaHei" w:cs="Arial"/>
      <w:szCs w:val="28"/>
    </w:rPr>
  </w:style>
  <w:style w:type="paragraph" w:styleId="Style17">
    <w:name w:val="Body Text"/>
    <w:basedOn w:val="Normal"/>
    <w:rsid w:val="006b6aec"/>
    <w:pPr>
      <w:spacing w:lineRule="auto" w:line="276" w:before="0" w:after="140"/>
    </w:pPr>
    <w:rPr/>
  </w:style>
  <w:style w:type="paragraph" w:styleId="Style18">
    <w:name w:val="List"/>
    <w:basedOn w:val="Style17"/>
    <w:rsid w:val="006b6aec"/>
    <w:pPr/>
    <w:rPr>
      <w:rFonts w:cs="Mangal"/>
    </w:rPr>
  </w:style>
  <w:style w:type="paragraph" w:styleId="Style19" w:customStyle="1">
    <w:name w:val="Caption"/>
    <w:basedOn w:val="Normal"/>
    <w:qFormat/>
    <w:rsid w:val="00575460"/>
    <w:pPr>
      <w:suppressLineNumbers/>
      <w:spacing w:before="120" w:after="120"/>
    </w:pPr>
    <w:rPr>
      <w:rFonts w:cs="Mangal"/>
      <w:i/>
      <w:iCs/>
      <w:sz w:val="24"/>
      <w:szCs w:val="24"/>
    </w:rPr>
  </w:style>
  <w:style w:type="paragraph" w:styleId="Style20">
    <w:name w:val="Указатель"/>
    <w:basedOn w:val="Normal"/>
    <w:qFormat/>
    <w:pPr>
      <w:suppressLineNumbers/>
    </w:pPr>
    <w:rPr>
      <w:rFonts w:cs="Arial"/>
      <w:lang w:val="zxx" w:eastAsia="zxx" w:bidi="zxx"/>
    </w:rPr>
  </w:style>
  <w:style w:type="paragraph" w:styleId="Indexheading">
    <w:name w:val="index heading"/>
    <w:basedOn w:val="Normal"/>
    <w:qFormat/>
    <w:rsid w:val="006b6aec"/>
    <w:pPr>
      <w:suppressLineNumbers/>
    </w:pPr>
    <w:rPr>
      <w:rFonts w:cs="Mangal"/>
    </w:rPr>
  </w:style>
  <w:style w:type="paragraph" w:styleId="11" w:customStyle="1">
    <w:name w:val="Название объекта1"/>
    <w:basedOn w:val="Normal"/>
    <w:qFormat/>
    <w:rsid w:val="006b6aec"/>
    <w:pPr>
      <w:suppressLineNumbers/>
      <w:spacing w:before="120" w:after="120"/>
    </w:pPr>
    <w:rPr>
      <w:rFonts w:cs="Mangal"/>
      <w:i/>
      <w:iCs/>
      <w:sz w:val="24"/>
      <w:szCs w:val="24"/>
    </w:rPr>
  </w:style>
  <w:style w:type="paragraph" w:styleId="111" w:customStyle="1">
    <w:name w:val="Заголовок 11"/>
    <w:basedOn w:val="Normal"/>
    <w:qFormat/>
    <w:rsid w:val="008a28c3"/>
    <w:pPr>
      <w:keepNext w:val="true"/>
      <w:ind w:hanging="0"/>
      <w:outlineLvl w:val="0"/>
    </w:pPr>
    <w:rPr>
      <w:rFonts w:eastAsia="Times New Roman"/>
      <w:b/>
      <w:sz w:val="20"/>
      <w:szCs w:val="20"/>
      <w:lang w:eastAsia="ru-RU"/>
    </w:rPr>
  </w:style>
  <w:style w:type="paragraph" w:styleId="12" w:customStyle="1">
    <w:name w:val="Заголовок1"/>
    <w:basedOn w:val="Normal"/>
    <w:qFormat/>
    <w:rsid w:val="006b6aec"/>
    <w:pPr>
      <w:keepNext w:val="true"/>
      <w:spacing w:before="240" w:after="120"/>
    </w:pPr>
    <w:rPr>
      <w:rFonts w:ascii="Liberation Sans" w:hAnsi="Liberation Sans" w:eastAsia="Microsoft YaHei" w:cs="Mangal"/>
      <w:szCs w:val="28"/>
    </w:rPr>
  </w:style>
  <w:style w:type="paragraph" w:styleId="NoSpacing">
    <w:name w:val="No Spacing"/>
    <w:qFormat/>
    <w:rsid w:val="008a28c3"/>
    <w:pPr>
      <w:widowControl/>
      <w:suppressAutoHyphens w:val="true"/>
      <w:bidi w:val="0"/>
      <w:spacing w:before="0" w:after="0"/>
      <w:jc w:val="left"/>
    </w:pPr>
    <w:rPr>
      <w:rFonts w:ascii="Calibri" w:hAnsi="Calibri" w:eastAsia="Arial" w:cs="Times New Roman"/>
      <w:color w:val="00000A"/>
      <w:kern w:val="2"/>
      <w:sz w:val="22"/>
      <w:szCs w:val="22"/>
      <w:lang w:val="ru-RU" w:eastAsia="ar-SA" w:bidi="ar-SA"/>
    </w:rPr>
  </w:style>
  <w:style w:type="paragraph" w:styleId="ConsPlusCell" w:customStyle="1">
    <w:name w:val="ConsPlusCell"/>
    <w:qFormat/>
    <w:rsid w:val="00552868"/>
    <w:pPr>
      <w:widowControl/>
      <w:suppressAutoHyphens w:val="true"/>
      <w:bidi w:val="0"/>
      <w:spacing w:before="0" w:after="0"/>
      <w:jc w:val="left"/>
    </w:pPr>
    <w:rPr>
      <w:rFonts w:ascii="Arial" w:hAnsi="Arial" w:eastAsia="Calibri" w:cs="Arial"/>
      <w:color w:val="00000A"/>
      <w:kern w:val="0"/>
      <w:sz w:val="28"/>
      <w:szCs w:val="20"/>
      <w:lang w:val="ru-RU" w:eastAsia="en-US" w:bidi="ar-SA"/>
    </w:rPr>
  </w:style>
  <w:style w:type="paragraph" w:styleId="ListParagraph">
    <w:name w:val="List Paragraph"/>
    <w:basedOn w:val="Normal"/>
    <w:qFormat/>
    <w:rsid w:val="00206643"/>
    <w:pPr>
      <w:spacing w:before="0" w:after="160"/>
      <w:ind w:left="720" w:hanging="0"/>
      <w:contextualSpacing/>
    </w:pPr>
    <w:rPr/>
  </w:style>
  <w:style w:type="paragraph" w:styleId="Standard" w:customStyle="1">
    <w:name w:val="Standard"/>
    <w:qFormat/>
    <w:rsid w:val="00206643"/>
    <w:pPr>
      <w:widowControl w:val="false"/>
      <w:suppressAutoHyphens w:val="true"/>
      <w:bidi w:val="0"/>
      <w:spacing w:before="0" w:after="0"/>
      <w:jc w:val="left"/>
      <w:textAlignment w:val="baseline"/>
    </w:pPr>
    <w:rPr>
      <w:rFonts w:ascii="Liberation Serif;Times New Roma" w:hAnsi="Liberation Serif;Times New Roma" w:eastAsia="NSimSun" w:cs="Arial"/>
      <w:color w:val="auto"/>
      <w:kern w:val="0"/>
      <w:sz w:val="24"/>
      <w:szCs w:val="24"/>
      <w:lang w:val="ru-RU" w:eastAsia="zh-CN" w:bidi="hi-IN"/>
    </w:rPr>
  </w:style>
  <w:style w:type="paragraph" w:styleId="NormalWeb">
    <w:name w:val="Normal (Web)"/>
    <w:basedOn w:val="Normal"/>
    <w:qFormat/>
    <w:rsid w:val="00206643"/>
    <w:pPr>
      <w:spacing w:before="280" w:after="280"/>
    </w:pPr>
    <w:rPr>
      <w:rFonts w:eastAsia="Times New Roman"/>
      <w:sz w:val="24"/>
      <w:szCs w:val="24"/>
      <w:lang w:eastAsia="ru-RU"/>
    </w:rPr>
  </w:style>
  <w:style w:type="paragraph" w:styleId="21" w:customStyle="1">
    <w:name w:val="Основной текст (2)"/>
    <w:basedOn w:val="Normal"/>
    <w:qFormat/>
    <w:rsid w:val="00206643"/>
    <w:pPr>
      <w:shd w:val="clear" w:color="auto" w:fill="FFFFFF"/>
      <w:spacing w:lineRule="exact" w:line="298"/>
      <w:jc w:val="both"/>
    </w:pPr>
    <w:rPr>
      <w:rFonts w:eastAsia="Times New Roman"/>
    </w:rPr>
  </w:style>
  <w:style w:type="paragraph" w:styleId="ConsPlusNormal" w:customStyle="1">
    <w:name w:val="ConsPlusNormal"/>
    <w:qFormat/>
    <w:rsid w:val="00206643"/>
    <w:pPr>
      <w:widowControl/>
      <w:suppressAutoHyphens w:val="true"/>
      <w:bidi w:val="0"/>
      <w:spacing w:before="0" w:after="0"/>
      <w:ind w:firstLine="720"/>
      <w:jc w:val="left"/>
    </w:pPr>
    <w:rPr>
      <w:rFonts w:ascii="Arial" w:hAnsi="Arial" w:eastAsia="Calibri" w:cs="Arial"/>
      <w:color w:val="auto"/>
      <w:kern w:val="0"/>
      <w:sz w:val="28"/>
      <w:szCs w:val="20"/>
      <w:lang w:val="ru-RU" w:eastAsia="zh-CN" w:bidi="ar-SA"/>
    </w:rPr>
  </w:style>
  <w:style w:type="paragraph" w:styleId="Style21" w:customStyle="1">
    <w:name w:val="Подпись к таблице"/>
    <w:basedOn w:val="Normal"/>
    <w:qFormat/>
    <w:rsid w:val="00206643"/>
    <w:pPr>
      <w:shd w:val="clear" w:color="auto" w:fill="FFFFFF"/>
      <w:jc w:val="both"/>
    </w:pPr>
    <w:rPr>
      <w:rFonts w:eastAsia="Times New Roman"/>
      <w:sz w:val="21"/>
      <w:szCs w:val="21"/>
    </w:rPr>
  </w:style>
  <w:style w:type="paragraph" w:styleId="Style22" w:customStyle="1">
    <w:name w:val="Содержимое врезки"/>
    <w:basedOn w:val="Normal"/>
    <w:qFormat/>
    <w:rsid w:val="00206643"/>
    <w:pPr/>
    <w:rPr/>
  </w:style>
  <w:style w:type="paragraph" w:styleId="Style23" w:customStyle="1">
    <w:name w:val="Содержимое таблицы"/>
    <w:basedOn w:val="Normal"/>
    <w:qFormat/>
    <w:rsid w:val="00206643"/>
    <w:pPr>
      <w:widowControl w:val="false"/>
      <w:suppressLineNumbers/>
    </w:pPr>
    <w:rPr/>
  </w:style>
  <w:style w:type="paragraph" w:styleId="Style24" w:customStyle="1">
    <w:name w:val="Заголовок таблицы"/>
    <w:basedOn w:val="Style23"/>
    <w:qFormat/>
    <w:rsid w:val="00206643"/>
    <w:pPr>
      <w:jc w:val="center"/>
    </w:pPr>
    <w:rPr>
      <w:b/>
      <w:bCs/>
    </w:rPr>
  </w:style>
  <w:style w:type="paragraph" w:styleId="ConsPlusNonformat" w:customStyle="1">
    <w:name w:val="ConsPlusNonformat"/>
    <w:qFormat/>
    <w:rsid w:val="00206643"/>
    <w:pPr>
      <w:widowControl/>
      <w:suppressAutoHyphens w:val="true"/>
      <w:bidi w:val="0"/>
      <w:spacing w:before="0" w:after="0"/>
      <w:jc w:val="left"/>
    </w:pPr>
    <w:rPr>
      <w:rFonts w:ascii="Courier New" w:hAnsi="Courier New" w:eastAsia="Calibri" w:cs="Courier New"/>
      <w:color w:val="auto"/>
      <w:kern w:val="0"/>
      <w:sz w:val="28"/>
      <w:szCs w:val="20"/>
      <w:lang w:val="ru-RU" w:eastAsia="zh-CN" w:bidi="ar-SA"/>
    </w:rPr>
  </w:style>
  <w:style w:type="paragraph" w:styleId="Style25" w:customStyle="1">
    <w:name w:val="Текст в заданном формате"/>
    <w:basedOn w:val="Normal"/>
    <w:qFormat/>
    <w:rsid w:val="00206643"/>
    <w:pPr/>
    <w:rPr>
      <w:rFonts w:ascii="Liberation Mono" w:hAnsi="Liberation Mono" w:eastAsia="Liberation Mono" w:cs="Liberation Mono"/>
      <w:sz w:val="20"/>
      <w:szCs w:val="20"/>
    </w:rPr>
  </w:style>
  <w:style w:type="paragraph" w:styleId="BalloonText">
    <w:name w:val="Balloon Text"/>
    <w:basedOn w:val="Normal"/>
    <w:uiPriority w:val="99"/>
    <w:semiHidden/>
    <w:unhideWhenUsed/>
    <w:qFormat/>
    <w:rsid w:val="00a904b9"/>
    <w:pPr/>
    <w:rPr>
      <w:rFonts w:ascii="Tahoma" w:hAnsi="Tahoma" w:cs="Tahoma"/>
      <w:sz w:val="16"/>
      <w:szCs w:val="16"/>
    </w:rPr>
  </w:style>
  <w:style w:type="numbering" w:styleId="NoList" w:default="1">
    <w:name w:val="No List"/>
    <w:uiPriority w:val="99"/>
    <w:semiHidden/>
    <w:unhideWhenUsed/>
    <w:qFormat/>
  </w:style>
  <w:style w:type="numbering" w:styleId="13" w:customStyle="1">
    <w:name w:val="Нет списка1"/>
    <w:semiHidden/>
    <w:unhideWhenUsed/>
    <w:qFormat/>
    <w:rsid w:val="008a28c3"/>
  </w:style>
  <w:style w:type="numbering" w:styleId="WW8Num10" w:customStyle="1">
    <w:name w:val="WW8Num10"/>
    <w:qFormat/>
    <w:rsid w:val="00206643"/>
  </w:style>
  <w:style w:type="numbering" w:styleId="WW8Num11" w:customStyle="1">
    <w:name w:val="WW8Num11"/>
    <w:qFormat/>
    <w:rsid w:val="00206643"/>
  </w:style>
  <w:style w:type="numbering" w:styleId="WW8Num12" w:customStyle="1">
    <w:name w:val="WW8Num12"/>
    <w:qFormat/>
    <w:rsid w:val="00206643"/>
  </w:style>
  <w:style w:type="numbering" w:styleId="WW8Num5" w:customStyle="1">
    <w:name w:val="WW8Num5"/>
    <w:qFormat/>
    <w:rsid w:val="00206643"/>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1">
    <w:name w:val="Table Grid"/>
    <w:basedOn w:val="a1"/>
    <w:rsid w:val="008a28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pn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Application>LibreOffice/7.3.0.3$Windows_X86_64 LibreOffice_project/0f246aa12d0eee4a0f7adcefbf7c878fc2238db3</Application>
  <AppVersion>15.0000</AppVersion>
  <Pages>31</Pages>
  <Words>6796</Words>
  <Characters>47781</Characters>
  <CharactersWithSpaces>53544</CharactersWithSpaces>
  <Paragraphs>1343</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2025-06-24T06:52:00Z</dcterms:created>
  <dc:creator>666</dc:creator>
  <dc:description/>
  <dc:language>ru-RU</dc:language>
  <cp:lastModifiedBy/>
  <cp:lastPrinted>2025-06-25T15:43:00Z</cp:lastPrinted>
  <dcterms:modified xsi:type="dcterms:W3CDTF">2026-04-06T13:50:43Z</dcterms:modified>
  <cp:revision>24</cp:revision>
  <dc:subject/>
  <dc:title>Схема теплоснабжения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