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87" w:rsidRPr="00137AC2" w:rsidRDefault="00137AC2" w:rsidP="00A05287">
      <w:pPr>
        <w:spacing w:after="300" w:line="240" w:lineRule="auto"/>
        <w:contextualSpacing/>
        <w:jc w:val="right"/>
        <w:rPr>
          <w:rFonts w:eastAsia="Times New Roman" w:cs="Times New Roman"/>
          <w:color w:val="000000" w:themeColor="text1"/>
          <w:spacing w:val="5"/>
          <w:kern w:val="28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pacing w:val="5"/>
          <w:kern w:val="28"/>
          <w:sz w:val="26"/>
          <w:szCs w:val="26"/>
          <w:lang w:eastAsia="ru-RU"/>
        </w:rPr>
        <w:t>Приложение</w:t>
      </w:r>
    </w:p>
    <w:p w:rsidR="0041166A" w:rsidRPr="00622389" w:rsidRDefault="00334973" w:rsidP="00973D97">
      <w:pPr>
        <w:spacing w:after="300" w:line="276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 xml:space="preserve">СВОДНАЯ </w:t>
      </w:r>
      <w:r w:rsidR="0041166A"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>РЕЙТИНГОВАЯ ОЦЕНКА УРОВНЯ</w:t>
      </w:r>
    </w:p>
    <w:p w:rsidR="0041166A" w:rsidRPr="00622389" w:rsidRDefault="0041166A" w:rsidP="0041166A">
      <w:pPr>
        <w:spacing w:after="300" w:line="276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>социально-экономического развития муниципальных образований</w:t>
      </w:r>
    </w:p>
    <w:p w:rsidR="0041166A" w:rsidRPr="00622389" w:rsidRDefault="0041166A" w:rsidP="0041166A">
      <w:pPr>
        <w:tabs>
          <w:tab w:val="center" w:pos="7285"/>
          <w:tab w:val="left" w:pos="9745"/>
        </w:tabs>
        <w:spacing w:line="276" w:lineRule="auto"/>
        <w:contextualSpacing/>
        <w:jc w:val="left"/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</w:pP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ab/>
        <w:t xml:space="preserve">Республики Хакасия за 2019 год </w:t>
      </w:r>
      <w:r w:rsidRPr="00622389">
        <w:rPr>
          <w:rFonts w:eastAsia="Times New Roman" w:cs="Times New Roman"/>
          <w:b/>
          <w:color w:val="632423" w:themeColor="accent2" w:themeShade="80"/>
          <w:spacing w:val="5"/>
          <w:kern w:val="28"/>
          <w:sz w:val="32"/>
          <w:szCs w:val="32"/>
          <w:lang w:eastAsia="ru-RU"/>
        </w:rPr>
        <w:tab/>
      </w:r>
    </w:p>
    <w:tbl>
      <w:tblPr>
        <w:tblW w:w="14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1"/>
        <w:gridCol w:w="2074"/>
        <w:gridCol w:w="2173"/>
        <w:gridCol w:w="2074"/>
        <w:gridCol w:w="2074"/>
        <w:gridCol w:w="2074"/>
      </w:tblGrid>
      <w:tr w:rsidR="009300A9" w:rsidRPr="00101F61" w:rsidTr="00324712">
        <w:trPr>
          <w:trHeight w:val="546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Муниципальное </w:t>
            </w:r>
          </w:p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Социально-экономическое развитие</w:t>
            </w:r>
          </w:p>
        </w:tc>
        <w:tc>
          <w:tcPr>
            <w:tcW w:w="2173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Финансовая устойчивость бюджетов 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Обеспеченность объектами социальной и инженерной инфраструктуры</w:t>
            </w:r>
          </w:p>
        </w:tc>
        <w:tc>
          <w:tcPr>
            <w:tcW w:w="2074" w:type="dxa"/>
            <w:shd w:val="clear" w:color="auto" w:fill="FFFFFF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Сумма рейтинга по группам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СВОДНЫЙ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14290" w:type="dxa"/>
            <w:gridSpan w:val="6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Городские округа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Абаза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3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5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Абакан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3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2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Саяногорск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3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1</w:t>
            </w:r>
          </w:p>
        </w:tc>
      </w:tr>
      <w:tr w:rsidR="009300A9" w:rsidRPr="00101F61" w:rsidTr="00E96DD7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bottom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Сорск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4</w:t>
            </w:r>
          </w:p>
        </w:tc>
      </w:tr>
      <w:tr w:rsidR="009300A9" w:rsidRPr="00101F61" w:rsidTr="00AC6DA9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bottom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г. Черногорск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3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14290" w:type="dxa"/>
            <w:gridSpan w:val="6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Муниципальные районы</w:t>
            </w:r>
          </w:p>
        </w:tc>
      </w:tr>
      <w:tr w:rsidR="009300A9" w:rsidRPr="00101F61" w:rsidTr="00137AC2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Алтайский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1</w:t>
            </w:r>
          </w:p>
        </w:tc>
      </w:tr>
      <w:tr w:rsidR="009300A9" w:rsidRPr="00101F61" w:rsidTr="00324712">
        <w:trPr>
          <w:trHeight w:val="381"/>
          <w:jc w:val="center"/>
        </w:trPr>
        <w:tc>
          <w:tcPr>
            <w:tcW w:w="3821" w:type="dxa"/>
            <w:shd w:val="clear" w:color="auto" w:fill="FFFFFF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Аскизский район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3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6</w:t>
            </w:r>
          </w:p>
        </w:tc>
      </w:tr>
      <w:tr w:rsidR="009300A9" w:rsidRPr="00101F61" w:rsidTr="00B3477E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Бейский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4</w:t>
            </w:r>
          </w:p>
        </w:tc>
      </w:tr>
      <w:tr w:rsidR="009300A9" w:rsidRPr="00101F61" w:rsidTr="00A74C85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Боградский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7</w:t>
            </w:r>
          </w:p>
        </w:tc>
      </w:tr>
      <w:tr w:rsidR="009300A9" w:rsidRPr="00101F61" w:rsidTr="00902325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Орджоникидзевский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5</w:t>
            </w:r>
          </w:p>
        </w:tc>
      </w:tr>
      <w:tr w:rsidR="009300A9" w:rsidRPr="00101F61" w:rsidTr="002C5155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Таштыпский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8</w:t>
            </w:r>
          </w:p>
        </w:tc>
      </w:tr>
      <w:tr w:rsidR="009300A9" w:rsidRPr="00101F61" w:rsidTr="00990457">
        <w:trPr>
          <w:trHeight w:val="381"/>
          <w:jc w:val="center"/>
        </w:trPr>
        <w:tc>
          <w:tcPr>
            <w:tcW w:w="3821" w:type="dxa"/>
            <w:shd w:val="clear" w:color="auto" w:fill="EAF1DD" w:themeFill="accent3" w:themeFillTint="33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Усть-Абаканский район</w:t>
            </w:r>
          </w:p>
        </w:tc>
        <w:tc>
          <w:tcPr>
            <w:tcW w:w="2074" w:type="dxa"/>
            <w:shd w:val="clear" w:color="auto" w:fill="EAF1DD" w:themeFill="accent3" w:themeFillTint="33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3" w:type="dxa"/>
            <w:shd w:val="clear" w:color="auto" w:fill="EAF1DD" w:themeFill="accent3" w:themeFillTint="33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EAF1DD" w:themeFill="accent3" w:themeFillTint="33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EAF1DD" w:themeFill="accent3" w:themeFillTint="33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4" w:type="dxa"/>
            <w:shd w:val="clear" w:color="auto" w:fill="EAF1DD" w:themeFill="accent3" w:themeFillTint="33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 w:rsidRPr="00101F61"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2</w:t>
            </w:r>
          </w:p>
        </w:tc>
      </w:tr>
      <w:tr w:rsidR="009300A9" w:rsidRPr="00101F61" w:rsidTr="00990457">
        <w:trPr>
          <w:trHeight w:val="381"/>
          <w:jc w:val="center"/>
        </w:trPr>
        <w:tc>
          <w:tcPr>
            <w:tcW w:w="3821" w:type="dxa"/>
            <w:shd w:val="clear" w:color="auto" w:fill="auto"/>
            <w:noWrap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1F61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Ширинский район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3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300A9" w:rsidRPr="00101F61" w:rsidRDefault="009300A9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5"/>
                <w:kern w:val="28"/>
                <w:szCs w:val="28"/>
                <w:lang w:eastAsia="ru-RU"/>
              </w:rPr>
              <w:t>2</w:t>
            </w:r>
          </w:p>
        </w:tc>
      </w:tr>
    </w:tbl>
    <w:p w:rsidR="0041166A" w:rsidRPr="00622389" w:rsidRDefault="0041166A" w:rsidP="009300A9">
      <w:pPr>
        <w:spacing w:line="276" w:lineRule="auto"/>
        <w:contextualSpacing/>
        <w:jc w:val="left"/>
        <w:rPr>
          <w:rFonts w:eastAsia="Times New Roman" w:cs="Times New Roman"/>
          <w:b/>
          <w:color w:val="1F497D" w:themeColor="text2"/>
          <w:spacing w:val="5"/>
          <w:kern w:val="28"/>
          <w:sz w:val="26"/>
          <w:szCs w:val="26"/>
          <w:lang w:eastAsia="ru-RU"/>
        </w:rPr>
      </w:pPr>
    </w:p>
    <w:p w:rsidR="000C32A6" w:rsidRDefault="000C32A6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  <w:sectPr w:rsidR="000C32A6" w:rsidSect="00A05287">
          <w:headerReference w:type="default" r:id="rId9"/>
          <w:headerReference w:type="first" r:id="rId10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По результатам Мониторинга за 2019 год наблюдались изменения в рейтинге лидеров среди городских округов, среди муниципальных районов изменений не произошло.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Лидирующую позицию по комплексной оценке социально-экономического развития среди городских округов сохранил г. Саяногорск (в 2018 году ‒ разделил 1 место с г. Абакан). Город Абакан, сохранявший 1 место в рейтинге на протяжении ряда лет, переместился на 2 место. Причиной снижени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я послужила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динамика показателей по финансовой устойчивости бюджетов муниципальных образований, где г. Саяногорск улучшил результаты по сравнению с 2018 годом, заняв 1 место в рейтинге, при этом г. Абакан остался на прежней позиции, сохранив последнее место в рейтинге (5). Среди муниципальных районов по комплексной оценке социально-экономического развития лидерство сохранил Алтайский район. В группе аутсайдеров среди городских округов по-прежнему сохранил свое положение г. Абаза, среди муниципальных районов ‒ Таштыпский.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Улучшили свои позиции по сравнению с 2018 годом: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г. Черногорск </w:t>
      </w:r>
      <w:proofErr w:type="gram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переместился на одну позицию вверх и занял</w:t>
      </w:r>
      <w:proofErr w:type="gram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3 место в рейтинге (2018 год ‒ 4 место).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Ширинский и Орджоникидзевский районы </w:t>
      </w:r>
      <w:proofErr w:type="gram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поднялись на одну позицию выше и заняли</w:t>
      </w:r>
      <w:proofErr w:type="gram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2 и 5 место соответственно.  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Ухудшили свои позиции: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Сорск перешел с 3 места в рейтинге на 4 место. Причинами снижения стали ухудшение динамики показателей социально-экономического развития и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финансовой устойчивости бюджетов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Аскизский район сменил место, заняв 6 место в рейтинге. Снижение произошли по направлению социально-экономического развития.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Боградский райо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 переместился с 6 места на 7 в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результате снижения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динамики показателей финансовой устойчивости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бюджетов (2018 года ‒ 5 место, 2019 год ‒ 8 место).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Основные тенденции социально-экономического развития муниципальных образований за 2019 год: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увеличился объем отгруженных товаров собственного производства, выполненных работ, услуг по кругу крупных и средних организаций республики на душу населения в восьми муниципальных образованиях республики. Снижение наблюдалось в г. Черногорск, Алтайском,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Орджоникидзевском и Усть-Абаканском районах;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возросла инвестиционная активность крупных и средних организаций на душу населения в семи муниципальных образованиях, кроме городов Абакан, Сорск и районов Бейского, Боградского, Таштыпского и Усть-Абаканского; 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увеличилось производство молока в сельскохозяйственных организациях только в двух муниципальных районах (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), скота и птицы на убой (в живом весе) ‒ в трех (Алтайском,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Орджоникидзевском);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>снизился объем</w:t>
      </w:r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строительных работ в расчете на душу населения в городах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Абакан, Черногорск и Сорск. </w:t>
      </w:r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районах Орджоникидзевском и </w:t>
      </w:r>
      <w:proofErr w:type="spellStart"/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значение показателя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уменьшилось</w:t>
      </w:r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до нулевого значения. Кроме того, за последние два года на территориях </w:t>
      </w:r>
      <w:proofErr w:type="spellStart"/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Аскизкого</w:t>
      </w:r>
      <w:proofErr w:type="spellEnd"/>
      <w:r w:rsidRPr="006C49BE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Усть-Абаканского районов крупные и средние организации не осуществляли строительную деятельность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сократился ввод в действие общей площади жилых домов на 1000 человек  только в четырех муниципальных образованиях (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Черногорск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е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Орджоникидзевском,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районах), в остальных наблюдался рост;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увеличился оборот розничной торговли и общественного питания на душу населения практически во всех муниципальных образованиях республики, кроме Бейского и Таштыпского районов;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рост объема платных услуг населению по крупным и средним организациям наблюдался в шести муниципальных образованиях (в городах Абакан, Абаза, Саяногорск и районах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Усть-Абаканском);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сократилось число субъектов малого и среднего предпринимательства в расчете на 1 тыс. человек населения в семи муниципальных образованиях республики (в городах Абакан, Саяногорск, Черногорск и районах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), в г. Сорске показатель остался на уровне 2018 года;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прирост среднемесячной начисленной заработной платы работников крупных и средних организаций наблюдался во всех муниципальных образованиях. Дифференциация муниципальных образований по уровню среднемесячной заработной платы продолжает оставаться высокой;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просроченная задолженность по заработной плате на 1 января 2020 года наблюдалась в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районах;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снизились поступления местных налогов в доходы местного бюджета по всем муниципальным образованиям, за исключением Алтайского района;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сократилась доля прибыльных организаций в общем числе организаций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(по крупным и средним организациям) в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четырех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муниципальных образованиях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(в городах Абаза,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Черногорск и районах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). В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 доля прибыльных организаций составила 100%;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положительный сальдированный финансовый результат получен в семи муниципальных образованиях Хакасии (в городах Абакан, Саяногорск, Черногорск и районах </w:t>
      </w:r>
      <w:proofErr w:type="gram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Алтайском</w:t>
      </w:r>
      <w:proofErr w:type="gram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);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уровень регистрируемой безработицы остался на уровне 2018 года, аутсайдером по уровню регистрируемой безработицы по-прежнему остался Орджоникидзевский район;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ухудшилась демографическая ситуация. Убыль населения наблюдалась практически во всех муниципальных образованиях, кроме г. Абакана;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уровень преступности снизился в девяти муниципальных образованиях, кроме городов Саяног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орск, Сорск и районов Таштыпского и Ширинского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выполнены мероприятий по подготовке к пожароопасному периоду и прохождению весеннего половодья на 100% практически во всех муниципальных образованиях, за исключением г. Черногорска,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Аскизского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, Боградского и Орджоникидзевского районов;</w:t>
      </w:r>
      <w:proofErr w:type="gramEnd"/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 количества поступивших обращений граждан, в том числе в жилищно-коммунальной сфере отмечено в половине муниципальных образований.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Пороговое значение критериев оценки населением эффективности деятельности органов местного самоуправления и организаций, оказывающих услуги населению, для признания деятельности руководителей удовлетворительной составило 30%, исходя из этого: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удовлетворенность населения деятельностью руководителей органов местного самоуправления городского округа (муниципального района) зафиксирована во всех муниципальных образованиях;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удовлетворенность населения качеством автомобильных дорог городского округа (муниципального района) наблюдалась во всех муниципальных образованиях, за исключением г. Саяногорска и Орджоникидзевского района;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удовлетворенность населения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целом 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жилищно-коммунальными услугами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(в том числе уровнем организации тепл</w:t>
      </w:r>
      <w:proofErr w:type="gram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о-</w:t>
      </w:r>
      <w:proofErr w:type="gram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, водо- и электроснабжения) отмечена по всем муниципальным образованиям. Ниже порогового значения зафиксирована удовлетворенность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только </w:t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уровню организации теплоснабжения в </w:t>
      </w:r>
      <w:proofErr w:type="spellStart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</w:t>
      </w:r>
      <w:proofErr w:type="spellEnd"/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районе.</w:t>
      </w:r>
    </w:p>
    <w:p w:rsidR="004D1F21" w:rsidRPr="00BA5C9F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Значения анализируемых показателей финансовой устойчивости муниципальных образований республики в целом за 2019 год по сравнению с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2018 годом улучшились по степени сбалансированности бюджетов. При этом ухудшились по уровню обеспеченности расходов на выполнение собственных полномочий собственными доходами, отношению кредиторской задолженности к общему объему расходов и по отношению долга муниципального образования к собственным доходам.</w:t>
      </w:r>
    </w:p>
    <w:p w:rsidR="004D1F21" w:rsidRDefault="004D1F21" w:rsidP="004D1F21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обеспеченности объектами социальной и инженерной инфраструктуры лидирующие позиции по итогам 2019 года заняли среди городских округов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BA5C9F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г. Абакан, среди муниципальных районов ‒ Орджоникидзевский.</w:t>
      </w: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0C32A6" w:rsidRDefault="000C32A6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  <w:r w:rsidRPr="00D141B7"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  <w:lastRenderedPageBreak/>
        <w:t>ФИНАНСОВАЯ УСТОЙЧИВОСТЬ БЮДЖЕТОВ</w:t>
      </w:r>
      <w:r w:rsidR="006C78F5">
        <w:rPr>
          <w:rFonts w:eastAsia="Times New Roman" w:cs="Times New Roman"/>
          <w:color w:val="632423" w:themeColor="accent2" w:themeShade="80"/>
          <w:sz w:val="26"/>
          <w:szCs w:val="26"/>
          <w:lang w:eastAsia="ru-RU"/>
        </w:rPr>
        <w:pict>
          <v:rect id="_x0000_i1025" style="width:467.7pt;height:1pt" o:hralign="center" o:hrstd="t" o:hrnoshade="t" o:hr="t" fillcolor="#943634 [2405]" stroked="f"/>
        </w:pic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</w:p>
    <w:p w:rsidR="004D1F21" w:rsidRPr="00D141B7" w:rsidRDefault="004D1F21" w:rsidP="004D1F21">
      <w:pPr>
        <w:spacing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2019 году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целом уровень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сбалансированности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местных бюджетов по городским округам по сравнению с 2018 годом снизился на 0,7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и составил 95,1%.</w:t>
      </w:r>
      <w:r w:rsidRPr="00D141B7">
        <w:rPr>
          <w:rFonts w:eastAsia="Times New Roman" w:cs="Times New Roman"/>
          <w:color w:val="1F497D" w:themeColor="text2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Города Абаза и Саяногорск не имеют дефицита бюджета.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Степень сбалансированности местных бюджетов </w:t>
      </w: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br/>
        <w:t>городских округов, %</w:t>
      </w:r>
    </w:p>
    <w:p w:rsidR="004D1F21" w:rsidRPr="00D141B7" w:rsidRDefault="004D1F21" w:rsidP="004D1F21">
      <w:pPr>
        <w:spacing w:line="240" w:lineRule="auto"/>
        <w:ind w:left="-142" w:firstLine="142"/>
        <w:rPr>
          <w:rFonts w:cs="Times New Roman"/>
          <w:color w:val="1F497D" w:themeColor="text2"/>
          <w:sz w:val="26"/>
          <w:szCs w:val="26"/>
          <w:highlight w:val="yellow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39D30AC6" wp14:editId="70512478">
            <wp:extent cx="6029325" cy="21240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1F21" w:rsidRPr="00D141B7" w:rsidRDefault="004D1F21" w:rsidP="004D1F21">
      <w:pPr>
        <w:spacing w:before="240"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Средний показатель сбалансированности местных бюджетов муниципальных районов 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составил 103,1% и увеличился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сравнению с 2018 годом на 1,7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Снижение степени сбалансированности местного бюджета по сравнению с 2018 годом установлено по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0,9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1,4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районам.</w:t>
      </w:r>
    </w:p>
    <w:p w:rsidR="004D1F21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Степень сбалансированности местных бюджетов </w:t>
      </w: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br/>
        <w:t>муниципальных районов, %</w:t>
      </w:r>
    </w:p>
    <w:p w:rsidR="004D1F21" w:rsidRPr="00D141B7" w:rsidRDefault="004D1F21" w:rsidP="004D1F21">
      <w:pPr>
        <w:spacing w:line="240" w:lineRule="auto"/>
        <w:jc w:val="left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73F107ED" wp14:editId="00CA045D">
            <wp:extent cx="6066692" cy="303334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1F21" w:rsidRPr="00D141B7" w:rsidRDefault="004D1F21" w:rsidP="004D1F21">
      <w:pPr>
        <w:spacing w:after="0" w:line="240" w:lineRule="auto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D1F21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Отношение задолженности к общему объему расходов бюджетов </w:t>
      </w: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br/>
        <w:t>городских округов, %</w:t>
      </w:r>
    </w:p>
    <w:p w:rsidR="004D1F21" w:rsidRPr="00D141B7" w:rsidRDefault="004D1F21" w:rsidP="004D1F21">
      <w:pPr>
        <w:spacing w:after="0" w:line="240" w:lineRule="auto"/>
        <w:rPr>
          <w:rFonts w:eastAsia="Times New Roman" w:cs="Times New Roman"/>
          <w:color w:val="1F497D" w:themeColor="text2"/>
          <w:sz w:val="26"/>
          <w:szCs w:val="26"/>
          <w:highlight w:val="yellow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61162199" wp14:editId="2913E52B">
            <wp:extent cx="5961184" cy="2875084"/>
            <wp:effectExtent l="0" t="0" r="1905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1F21" w:rsidRPr="00D141B7" w:rsidRDefault="004D1F21" w:rsidP="004D1F21">
      <w:pPr>
        <w:spacing w:before="240"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highlight w:val="yellow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 2019 год сложилось увеличение просроченной кредиторской задолженности по всем городским округам в среднем на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7,4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4D1F21" w:rsidRPr="00D141B7" w:rsidRDefault="004D1F21" w:rsidP="004D1F21">
      <w:pPr>
        <w:spacing w:line="240" w:lineRule="auto"/>
        <w:ind w:firstLine="709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Отношение задолженности к общему объему расходов бюджетов муниципальных районов увеличилось по сравнению с 2018 годом в среднем на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3,1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Уменьшение установлено только по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2,2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(на 0,2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районам. 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Отношение задолженности к общему объему расходов 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бюджетов муниципальных районов, %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color w:val="1F497D" w:themeColor="text2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left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7B4B67DA" wp14:editId="16DC101B">
            <wp:extent cx="5962650" cy="28860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Средний показатель городских округов по уровню обеспеченности расходов на выполнение собственных полномочий собственными доходами за 2019 год в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сравнении с 2018 годом уменьшился на 9,2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и составил 52,4%. Снижение среди городских округов зафиксировано только в городе Абакане на 18,2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., при этом это лучший показатель как среди городских округов, так и в целом по республике. </w:t>
      </w:r>
      <w:proofErr w:type="gramEnd"/>
    </w:p>
    <w:p w:rsidR="004D1F21" w:rsidRPr="00D141B7" w:rsidRDefault="004D1F21" w:rsidP="004D1F21">
      <w:pPr>
        <w:spacing w:after="0" w:line="240" w:lineRule="auto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Уровень обеспеченности расходов на выполнение собственных </w:t>
      </w: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br/>
        <w:t>полномочий органов местного самоуправления городских округов собственными доходами, %</w:t>
      </w:r>
    </w:p>
    <w:p w:rsidR="004D1F21" w:rsidRPr="00D141B7" w:rsidRDefault="004D1F21" w:rsidP="004D1F21">
      <w:pPr>
        <w:spacing w:after="0" w:line="240" w:lineRule="auto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1362A3AB" wp14:editId="4A2D9204">
            <wp:extent cx="5934075" cy="26670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D1F21" w:rsidRPr="00D141B7" w:rsidRDefault="004D1F21" w:rsidP="004D1F21">
      <w:pPr>
        <w:spacing w:before="240"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обеспеченности расходов на выполнение собственных полномочий собственными доходами по сравнению с 2018 годом в целом по муниципальным районам увеличился на 6,7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.п</w:t>
      </w:r>
      <w:proofErr w:type="spellEnd"/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составил 34,4%. Рост наблюдалось практически по всем муниципальным районам республики, кроме Орджоникидзевского (снижение на 2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Алтайского (на 1,5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районов.</w:t>
      </w:r>
    </w:p>
    <w:p w:rsidR="004D1F21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Уровень обеспеченности расходов на выполнение собственных полномочий органов местного самоуправления муниципальных районов </w:t>
      </w: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br/>
      </w:r>
      <w:proofErr w:type="gramStart"/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собственным</w:t>
      </w:r>
      <w:proofErr w:type="gramEnd"/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 доходами, %</w:t>
      </w:r>
    </w:p>
    <w:p w:rsidR="004D1F21" w:rsidRPr="00D141B7" w:rsidRDefault="004D1F21" w:rsidP="004D1F21">
      <w:pPr>
        <w:spacing w:line="240" w:lineRule="auto"/>
        <w:jc w:val="left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51477473" wp14:editId="3D4B472E">
            <wp:extent cx="5934075" cy="27527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D1F21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За 2019 год выше среднего значения уровень обеспеченности расходов на выполнение собственных полномочий собственными доходами имели следующие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муниципальные районы: Алтайский (на 12,1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Усть-Абаканский (на 11,1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Бейский (на 10,5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.). </w:t>
      </w: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Отношение долга городских округов к доходам бюджета, %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left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0BF67CAA" wp14:editId="0A194E24">
            <wp:extent cx="6110343" cy="2495774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Отношение муниципального долга к доходам бюджета в среднем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по городским округам за 2019 год увеличилось на 6,7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к уровню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2018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года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 Все городские округа на отчетную дату имели муниципальный долг. Увеличение муниципального долга наблюдалось по всем городским округам республики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.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Отношение долга муниципальных районов к доходам бюджета, %</w:t>
      </w:r>
    </w:p>
    <w:p w:rsidR="004D1F21" w:rsidRPr="00D141B7" w:rsidRDefault="004D1F21" w:rsidP="004D1F21">
      <w:pPr>
        <w:spacing w:line="240" w:lineRule="auto"/>
        <w:jc w:val="left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07D78064" wp14:editId="7165307A">
            <wp:extent cx="5841402" cy="301214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D1F21" w:rsidRPr="000C32A6" w:rsidRDefault="004D1F21" w:rsidP="000C32A6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В среднем величина показателя отношения муниципального долга к доходам бюджетов муниципальных районов на 1 января 2020 года увеличилась на 1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 по сравнению с 2018 годом. Снижение установлено по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Боградскому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18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Таштыпскому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8,5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.),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(на 5,6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.) и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Ширинскому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(на 5,5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.) районам.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Уровень бюджетной обеспеченности городских округов, %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rPr>
          <w:rFonts w:eastAsia="Times New Roman" w:cs="Times New Roman"/>
          <w:color w:val="1F497D" w:themeColor="text2"/>
          <w:sz w:val="26"/>
          <w:szCs w:val="26"/>
          <w:highlight w:val="yellow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5201A258" wp14:editId="23BDE4B5">
            <wp:extent cx="6030410" cy="240753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городских округов за 2019 год по отношению к 2018 году снизился, за исключением г. Черногорска, где наблюдался рост на 4,1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п.п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., по остальным 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ru-RU"/>
        </w:rPr>
        <w:t>‒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снижение.</w:t>
      </w: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D1F21" w:rsidRPr="00D141B7" w:rsidRDefault="004D1F21" w:rsidP="004D1F21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D141B7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Уровень бюджетной обеспеченности муниципальных районов, %</w:t>
      </w:r>
    </w:p>
    <w:p w:rsidR="004D1F21" w:rsidRPr="00D141B7" w:rsidRDefault="004D1F21" w:rsidP="004D1F21">
      <w:pPr>
        <w:spacing w:before="240" w:after="0" w:line="240" w:lineRule="auto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cs="Times New Roman"/>
          <w:noProof/>
          <w:lang w:eastAsia="ru-RU"/>
        </w:rPr>
        <w:drawing>
          <wp:inline distT="0" distB="0" distL="0" distR="0" wp14:anchorId="46FBCC52" wp14:editId="44DA3417">
            <wp:extent cx="5934075" cy="25717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D1F21" w:rsidRPr="00D141B7" w:rsidRDefault="004D1F21" w:rsidP="004D1F21">
      <w:pPr>
        <w:spacing w:before="240"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Уровень бюджетной обеспеченности по муниципальным районам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за 2019 год сложился выше среднего значения по 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Алтайскому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(112,6%),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(104,2%),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Бейскому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(104,8%) и Усть-Абаканскому (101,0%) районам. </w:t>
      </w:r>
    </w:p>
    <w:p w:rsidR="004D1F21" w:rsidRPr="00D141B7" w:rsidRDefault="004D1F21" w:rsidP="004D1F21">
      <w:pPr>
        <w:spacing w:after="300" w:line="240" w:lineRule="auto"/>
        <w:contextualSpacing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Default="004D1F21" w:rsidP="000C32A6">
      <w:pPr>
        <w:spacing w:after="300" w:line="240" w:lineRule="auto"/>
        <w:contextualSpacing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</w:p>
    <w:p w:rsidR="004D1F21" w:rsidRPr="00D141B7" w:rsidRDefault="004D1F21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  <w:r w:rsidRPr="00D141B7"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  <w:lastRenderedPageBreak/>
        <w:t>СОЦИАЛЬНАЯ И ИНЖЕНЕРНАЯ ИНФРАСТРУКТУРА</w:t>
      </w:r>
    </w:p>
    <w:p w:rsidR="004D1F21" w:rsidRPr="00D141B7" w:rsidRDefault="006C78F5" w:rsidP="004D1F21">
      <w:pPr>
        <w:spacing w:after="300" w:line="240" w:lineRule="auto"/>
        <w:contextualSpacing/>
        <w:jc w:val="center"/>
        <w:rPr>
          <w:rFonts w:eastAsia="Times New Roman" w:cs="Times New Roman"/>
          <w:b/>
          <w:color w:val="632423" w:themeColor="accent2" w:themeShade="80"/>
          <w:spacing w:val="5"/>
          <w:kern w:val="28"/>
          <w:sz w:val="26"/>
          <w:szCs w:val="26"/>
          <w:lang w:eastAsia="ru-RU"/>
        </w:rPr>
      </w:pPr>
      <w:r>
        <w:rPr>
          <w:rFonts w:eastAsia="Times New Roman" w:cs="Times New Roman"/>
          <w:color w:val="632423" w:themeColor="accent2" w:themeShade="80"/>
          <w:sz w:val="26"/>
          <w:szCs w:val="26"/>
          <w:lang w:eastAsia="ru-RU"/>
        </w:rPr>
        <w:pict>
          <v:rect id="_x0000_i1026" style="width:467.7pt;height:1pt" o:hralign="center" o:hrstd="t" o:hrnoshade="t" o:hr="t" fillcolor="#943634 [2405]" stroked="f"/>
        </w:pict>
      </w:r>
    </w:p>
    <w:p w:rsidR="004D1F21" w:rsidRPr="00D141B7" w:rsidRDefault="004D1F21" w:rsidP="004D1F21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4D1F21" w:rsidRPr="00D141B7" w:rsidRDefault="004D1F21" w:rsidP="004D1F21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Обеспеченность детскими дошкольными учреждениями (мест на 1000 детей дошкольного возраста) 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на конец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2019 года в республике составила 759 мест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,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или 104,3% к  2017 году. Самый высокий показатель в г. Саяногорске (1190 мест). Выше среднереспубликанского значения обеспеченность детскими дошкольными учреждениями зафиксирована практически во всех городских округах, кроме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г. Абакана (735 мест на 1000 детей дошкольного образования) и в районах: Алтайском, 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Орджоникидзевском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Усть-Абаканском. Самый  низкий показатель в </w:t>
      </w:r>
      <w:proofErr w:type="spell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Аскизском</w:t>
      </w:r>
      <w:proofErr w:type="spell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районе – 520 мест.</w:t>
      </w:r>
    </w:p>
    <w:p w:rsidR="004D1F21" w:rsidRPr="00D141B7" w:rsidRDefault="004D1F21" w:rsidP="004D1F21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показателю численность обучающихся в первую смену в дневных учреждениях общего образования в </w:t>
      </w: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процентах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к общему числу обучающихся в этих учреждениях</w:t>
      </w:r>
      <w:r w:rsidRPr="00D141B7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значение 100% имеют шесть муниципальных образований: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города Абаза, Сорск и районы Алтайский, Бейский, Боградский и Орджоникидзевский. Наименьшее значение данного показателя сложилось в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г. Абакане (68,5%). </w:t>
      </w:r>
    </w:p>
    <w:p w:rsidR="004D1F21" w:rsidRPr="00D141B7" w:rsidRDefault="004D1F21" w:rsidP="004D1F21">
      <w:pPr>
        <w:tabs>
          <w:tab w:val="left" w:pos="0"/>
        </w:tabs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По обеспеченности больничными койками (на 10000 человек населения) на первом месте среди городов и в целом по республике – г. Абакан (117,8 коек), среди районов – Ширинский (66,7 койки). Самая низкая обеспеченность больничными койками среди городских округов зафиксирована в Сорске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br/>
        <w:t xml:space="preserve">(32,1 койка), среди районов – в Усть-Абаканском (23,3 койки). </w:t>
      </w:r>
    </w:p>
    <w:p w:rsidR="004D1F21" w:rsidRPr="00D141B7" w:rsidRDefault="004D1F21" w:rsidP="004D1F21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Обеспеченность амбулаторно-поликлиническими учреждениями по республике составила в среднем 338,5 посещений в смену на 10000 человек населения, </w:t>
      </w:r>
      <w:r>
        <w:rPr>
          <w:rFonts w:eastAsia="Times New Roman" w:cs="Times New Roman"/>
          <w:color w:val="000000" w:themeColor="text1"/>
          <w:sz w:val="26"/>
          <w:szCs w:val="26"/>
          <w:lang w:eastAsia="ru-RU"/>
        </w:rPr>
        <w:t>что на 1,8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% больше по сравнению с 2018 годом. Наибольшее значение данного показателя среди городских округов в Абакане (450,0 посещений), среди районов ‒ в Орджоникидзевском (542,4). На последнем месте по обеспеченности</w:t>
      </w:r>
      <w:r w:rsidRPr="00D141B7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находятся г. Абаза (196,8) и Усть-Абаканский район (135,3). </w:t>
      </w:r>
    </w:p>
    <w:p w:rsidR="004D1F21" w:rsidRPr="00D141B7" w:rsidRDefault="004D1F21" w:rsidP="004D1F21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Объектами инженерной инфраструктуры среди городских округов лучше обеспечены Абакан и Саяногорск.</w:t>
      </w:r>
      <w:proofErr w:type="gramEnd"/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По показателям: удельный вес площади, оборудованной водопроводом, канализацией, отоплением и горячим водоснабжением первое место занимает г. Абакан,</w:t>
      </w:r>
      <w:r w:rsidRPr="00D141B7">
        <w:rPr>
          <w:rFonts w:eastAsia="Times New Roman" w:cs="Times New Roman"/>
          <w:color w:val="FF0000"/>
          <w:sz w:val="26"/>
          <w:szCs w:val="26"/>
          <w:lang w:eastAsia="ru-RU"/>
        </w:rPr>
        <w:t xml:space="preserve"> 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>последнее ‒ г. Абаза.</w:t>
      </w:r>
    </w:p>
    <w:p w:rsidR="004D1F21" w:rsidRPr="00D141B7" w:rsidRDefault="004D1F21" w:rsidP="004D1F21">
      <w:pPr>
        <w:autoSpaceDE w:val="0"/>
        <w:autoSpaceDN w:val="0"/>
        <w:adjustRightInd w:val="0"/>
        <w:spacing w:after="0" w:line="240" w:lineRule="auto"/>
        <w:ind w:firstLine="709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  <w:r w:rsidRPr="00D141B7">
        <w:rPr>
          <w:rFonts w:eastAsia="Times New Roman" w:cs="Times New Roman"/>
          <w:sz w:val="26"/>
          <w:szCs w:val="26"/>
          <w:lang w:eastAsia="ru-RU"/>
        </w:rPr>
        <w:t xml:space="preserve">Среди муниципальных районов наибольшая обеспеченность объектами инженерной инфраструктуры в </w:t>
      </w:r>
      <w:proofErr w:type="spellStart"/>
      <w:r w:rsidRPr="00D141B7">
        <w:rPr>
          <w:rFonts w:eastAsia="Times New Roman" w:cs="Times New Roman"/>
          <w:sz w:val="26"/>
          <w:szCs w:val="26"/>
          <w:lang w:eastAsia="ru-RU"/>
        </w:rPr>
        <w:t>Ширинском</w:t>
      </w:r>
      <w:proofErr w:type="spellEnd"/>
      <w:r w:rsidRPr="00D141B7">
        <w:rPr>
          <w:rFonts w:eastAsia="Times New Roman" w:cs="Times New Roman"/>
          <w:sz w:val="26"/>
          <w:szCs w:val="26"/>
          <w:lang w:eastAsia="ru-RU"/>
        </w:rPr>
        <w:t xml:space="preserve"> и Усть-Абаканском районах. Последнее место по показателям удельный вес площади, оборудованной водопроводом, канализацией и отоплением и в целом по республике занимает Таштыпский район</w:t>
      </w:r>
      <w:r w:rsidRPr="00D141B7">
        <w:rPr>
          <w:rFonts w:eastAsia="Times New Roman" w:cs="Times New Roman"/>
          <w:color w:val="000000" w:themeColor="text1"/>
          <w:sz w:val="26"/>
          <w:szCs w:val="26"/>
          <w:lang w:eastAsia="ru-RU"/>
        </w:rPr>
        <w:t xml:space="preserve"> и по показателю удельный вес площади, оборудованной горячим водоснабжением ‒ Аскизский район. </w:t>
      </w:r>
    </w:p>
    <w:p w:rsidR="00973D97" w:rsidRDefault="00973D9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973D97" w:rsidRDefault="00973D9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973D97" w:rsidRDefault="00973D9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973D97" w:rsidRDefault="00973D9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973D97" w:rsidRDefault="00973D9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A05287" w:rsidRDefault="00A0528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A05287" w:rsidRDefault="00A05287" w:rsidP="00BF3829">
      <w:pPr>
        <w:tabs>
          <w:tab w:val="left" w:pos="1134"/>
        </w:tabs>
        <w:spacing w:after="0" w:line="276" w:lineRule="auto"/>
        <w:ind w:firstLine="567"/>
        <w:rPr>
          <w:rFonts w:eastAsia="Times New Roman" w:cs="Times New Roman"/>
          <w:color w:val="000000" w:themeColor="text1"/>
          <w:sz w:val="26"/>
          <w:szCs w:val="26"/>
          <w:lang w:eastAsia="ru-RU"/>
        </w:rPr>
      </w:pPr>
    </w:p>
    <w:p w:rsidR="007D3A02" w:rsidRDefault="007D3A02" w:rsidP="000C32A6">
      <w:pPr>
        <w:tabs>
          <w:tab w:val="left" w:pos="1134"/>
        </w:tabs>
        <w:spacing w:after="0" w:line="276" w:lineRule="auto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973D97" w:rsidRPr="007D3A02" w:rsidRDefault="004D1F21" w:rsidP="007D3A02">
      <w:pPr>
        <w:tabs>
          <w:tab w:val="left" w:pos="1134"/>
        </w:tabs>
        <w:spacing w:after="0" w:line="276" w:lineRule="auto"/>
        <w:ind w:firstLine="567"/>
        <w:jc w:val="center"/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Показатели</w:t>
      </w:r>
      <w:r w:rsidR="007D3A02" w:rsidRPr="007D3A02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социально-эконо</w:t>
      </w:r>
      <w:r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мического развития муниципального образования</w:t>
      </w:r>
      <w:r w:rsidR="007D3A02" w:rsidRPr="007D3A02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990457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Усть-Абаканский</w:t>
      </w:r>
      <w:r w:rsidR="00A74C85"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b/>
          <w:color w:val="000000" w:themeColor="text1"/>
          <w:sz w:val="26"/>
          <w:szCs w:val="26"/>
          <w:lang w:eastAsia="ru-RU"/>
        </w:rPr>
        <w:t>район</w:t>
      </w:r>
    </w:p>
    <w:tbl>
      <w:tblPr>
        <w:tblW w:w="919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4379"/>
        <w:gridCol w:w="1560"/>
        <w:gridCol w:w="1417"/>
        <w:gridCol w:w="1103"/>
      </w:tblGrid>
      <w:tr w:rsidR="007711E4" w:rsidTr="00990457">
        <w:trPr>
          <w:trHeight w:val="533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990457" w:rsidP="00E96DD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Усть-Абаканский</w:t>
            </w:r>
            <w:r w:rsidR="00AC6DA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7711E4" w:rsidTr="00990457">
        <w:trPr>
          <w:trHeight w:val="460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1E4" w:rsidRDefault="007711E4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7711E4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2018 год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  <w:hideMark/>
          </w:tcPr>
          <w:p w:rsidR="007711E4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2019 год</w:t>
            </w:r>
          </w:p>
        </w:tc>
      </w:tr>
    </w:tbl>
    <w:p w:rsidR="007D3A02" w:rsidRPr="007D3A02" w:rsidRDefault="007D3A02" w:rsidP="007D3A02">
      <w:pPr>
        <w:spacing w:after="0"/>
        <w:rPr>
          <w:sz w:val="2"/>
          <w:szCs w:val="2"/>
        </w:rPr>
      </w:pPr>
    </w:p>
    <w:tbl>
      <w:tblPr>
        <w:tblW w:w="919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4379"/>
        <w:gridCol w:w="1560"/>
        <w:gridCol w:w="1417"/>
        <w:gridCol w:w="1103"/>
      </w:tblGrid>
      <w:tr w:rsidR="007711E4" w:rsidRPr="000C32A6" w:rsidTr="00990457">
        <w:trPr>
          <w:trHeight w:val="250"/>
          <w:tblHeader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1E4" w:rsidRPr="000C32A6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cs="Times New Roman"/>
                <w:sz w:val="24"/>
                <w:szCs w:val="24"/>
              </w:rPr>
              <w:br w:type="page"/>
            </w: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1E4" w:rsidRPr="000C32A6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1E4" w:rsidRPr="000C32A6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711E4" w:rsidRPr="000C32A6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7711E4" w:rsidRPr="000C32A6" w:rsidRDefault="007711E4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A7BAB" w:rsidRPr="000C32A6" w:rsidTr="00DA7BAB">
        <w:trPr>
          <w:trHeight w:val="315"/>
        </w:trPr>
        <w:tc>
          <w:tcPr>
            <w:tcW w:w="91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BAB" w:rsidRPr="000C32A6" w:rsidRDefault="00DA7BAB" w:rsidP="00DA7BAB">
            <w:pPr>
              <w:spacing w:after="0" w:line="240" w:lineRule="auto"/>
              <w:jc w:val="center"/>
              <w:rPr>
                <w:rFonts w:cs="Times New Roman"/>
                <w:i/>
                <w:color w:val="000000"/>
                <w:sz w:val="24"/>
                <w:szCs w:val="24"/>
              </w:rPr>
            </w:pPr>
            <w:r w:rsidRPr="000C32A6">
              <w:rPr>
                <w:rFonts w:cs="Times New Roman"/>
                <w:i/>
                <w:color w:val="000000"/>
                <w:sz w:val="24"/>
                <w:szCs w:val="24"/>
              </w:rPr>
              <w:t>Социально-экономическое развитие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Отгружено товаров собственного производства, выполнено работ и услуг по кругу крупных и средних организаций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52731,2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51654,9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Объем инвестиций в основной капитал крупных и средних организаций по всем источникам финансирования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8631,6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8380,3</w:t>
            </w:r>
          </w:p>
        </w:tc>
      </w:tr>
      <w:tr w:rsidR="00990457" w:rsidRPr="000C32A6" w:rsidTr="00990457">
        <w:trPr>
          <w:trHeight w:val="791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AC6DA9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0C32A6">
              <w:rPr>
                <w:rFonts w:cs="Times New Roman"/>
                <w:color w:val="000000"/>
                <w:sz w:val="24"/>
                <w:szCs w:val="24"/>
              </w:rPr>
              <w:t>3.1. Производство молока в сельскохозяйственных организациях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457" w:rsidRPr="000C32A6" w:rsidRDefault="00990457" w:rsidP="00AC6DA9">
            <w:pPr>
              <w:spacing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gramStart"/>
            <w:r w:rsidRPr="000C32A6">
              <w:rPr>
                <w:rFonts w:cs="Times New Roman"/>
                <w:color w:val="000000"/>
                <w:sz w:val="24"/>
                <w:szCs w:val="24"/>
              </w:rPr>
              <w:t>кг</w:t>
            </w:r>
            <w:proofErr w:type="gramEnd"/>
            <w:r w:rsidRPr="000C32A6">
              <w:rPr>
                <w:rFonts w:cs="Times New Roman"/>
                <w:color w:val="000000"/>
                <w:sz w:val="24"/>
                <w:szCs w:val="24"/>
              </w:rPr>
              <w:t>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</w:t>
            </w:r>
            <w:r>
              <w:rPr>
                <w:rFonts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0457" w:rsidRPr="000C32A6" w:rsidRDefault="00990457" w:rsidP="00AC6DA9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0C32A6">
              <w:rPr>
                <w:rFonts w:cs="Times New Roman"/>
                <w:color w:val="000000"/>
                <w:sz w:val="24"/>
                <w:szCs w:val="24"/>
              </w:rPr>
              <w:t>3.2. Производство скота и птицы на убой (в живом весе) в сельскохозяйственных организациях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457" w:rsidRPr="000C32A6" w:rsidRDefault="00990457" w:rsidP="00AC6DA9">
            <w:pPr>
              <w:spacing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gramStart"/>
            <w:r w:rsidRPr="000C32A6">
              <w:rPr>
                <w:rFonts w:cs="Times New Roman"/>
                <w:color w:val="000000"/>
                <w:sz w:val="24"/>
                <w:szCs w:val="24"/>
              </w:rPr>
              <w:t>кг</w:t>
            </w:r>
            <w:proofErr w:type="gramEnd"/>
            <w:r w:rsidRPr="000C32A6">
              <w:rPr>
                <w:rFonts w:cs="Times New Roman"/>
                <w:color w:val="000000"/>
                <w:sz w:val="24"/>
                <w:szCs w:val="24"/>
              </w:rPr>
              <w:t>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работ, выполненных по крупным и средним организациям по виду экономической  деятельности «Строительство»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0,0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Ввод в действие общей площади жилых домов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кв. м./1000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711,6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1095,8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Оборот розничной торговли и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общественного питания по крупным</w:t>
            </w: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средним организациям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45101,2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54111,7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платных услуг населению по крупным и средним организациям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5101,18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8476,4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Число субъектов малого и среднего предпринимательства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на 1000/чел.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23,3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23,7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Среднемесячная начисленная заработная плата работников (по крупным и средним организациям)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  <w:r w:rsidRPr="00990457">
              <w:rPr>
                <w:color w:val="000000"/>
                <w:sz w:val="24"/>
                <w:szCs w:val="24"/>
              </w:rPr>
              <w:t>799,2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32514,8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Объем просроченной задолженности по заработной плате  организаций на территории муниципального образования, в том числе организаций, финансируемых из муниципального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Pr="0099045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0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Поступление местных налогов в доходы местного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руб./чел.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976,3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913,5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Доля прибыльных организаций в общем числе организаций (по крупным и средним организациям)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71,4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71,4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Сальдированный финансовый результат (прибыль минус убыток) организаций (по крупным и средним организациям)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-54,5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-70,7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регистрируемой безработицы (численность зарегистрированных безработных к численности экономически активного населения)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1,1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1,1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Естественный прирост (убыль) населения, на 1000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-0,6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-2,5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9,0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-206,0</w:t>
            </w:r>
          </w:p>
        </w:tc>
      </w:tr>
      <w:tr w:rsidR="00990457" w:rsidRPr="000C32A6" w:rsidTr="00990457">
        <w:trPr>
          <w:trHeight w:val="76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преступности (число зарегистрированных преступлений в расчете на 10 тыс. человек населения)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198,9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162,8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Сведения о пожарах на территории муниципального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кол-во пожаров на 10 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22,5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80,2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подготовке к пожароопасному периоду и прохождению весеннего половодья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100,0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2C62CD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деятельностью органов местного самоуправления городского округа (муниципального района)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52,2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58,2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качеством автомобильных дорог городского округа (муниципального района)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35,5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36,3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Удовлетворенность населения жилищно-коммунальными услугами городского округа (муниципального района), в том числе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40,6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0457">
              <w:rPr>
                <w:sz w:val="24"/>
                <w:szCs w:val="24"/>
              </w:rPr>
              <w:t>50,6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22.1. Уровнем организации теплоснабжения (снабжения топливом)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990457">
              <w:rPr>
                <w:sz w:val="24"/>
                <w:szCs w:val="24"/>
              </w:rPr>
              <w:t>38,6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22.2. Уровнем организации водоснабжения (водоотведения)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rFonts w:eastAsia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rFonts w:eastAsia="Times New Roman" w:cs="Times New Roman"/>
                <w:sz w:val="24"/>
                <w:szCs w:val="24"/>
                <w:lang w:eastAsia="ru-RU"/>
              </w:rPr>
              <w:t>47,3</w:t>
            </w:r>
          </w:p>
        </w:tc>
      </w:tr>
      <w:tr w:rsidR="00990457" w:rsidRPr="000C32A6" w:rsidTr="00990457">
        <w:trPr>
          <w:trHeight w:val="543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22.3. Уровнем организации электроснабжения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% от числа </w:t>
            </w:r>
            <w:proofErr w:type="gramStart"/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rFonts w:eastAsia="Times New Roman" w:cs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rFonts w:eastAsia="Times New Roman" w:cs="Times New Roman"/>
                <w:sz w:val="24"/>
                <w:szCs w:val="24"/>
                <w:lang w:eastAsia="ru-RU"/>
              </w:rPr>
              <w:t>78,2</w:t>
            </w:r>
          </w:p>
        </w:tc>
      </w:tr>
      <w:tr w:rsidR="00990457" w:rsidRPr="000C32A6" w:rsidTr="00990457">
        <w:trPr>
          <w:trHeight w:val="7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поступивших обращений граждан по вопросам (всего), в том числе в жилищно-коммунальной сфере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 на 10 тыс. чел.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color w:val="000000"/>
                <w:sz w:val="24"/>
                <w:szCs w:val="24"/>
              </w:rPr>
              <w:t>133,6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0457">
              <w:rPr>
                <w:sz w:val="24"/>
                <w:szCs w:val="24"/>
              </w:rPr>
              <w:t>93,0</w:t>
            </w:r>
          </w:p>
        </w:tc>
      </w:tr>
      <w:tr w:rsidR="00990457" w:rsidRPr="000C32A6" w:rsidTr="00990457">
        <w:trPr>
          <w:trHeight w:val="637"/>
        </w:trPr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в рейтинге по социально-экономическому развитию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234C8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234C8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90457" w:rsidRPr="000C32A6" w:rsidTr="00DA7BAB">
        <w:trPr>
          <w:trHeight w:val="284"/>
        </w:trPr>
        <w:tc>
          <w:tcPr>
            <w:tcW w:w="91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457" w:rsidRPr="000C32A6" w:rsidRDefault="00990457" w:rsidP="00234C8B">
            <w:pPr>
              <w:spacing w:after="0" w:line="240" w:lineRule="auto"/>
              <w:jc w:val="center"/>
              <w:rPr>
                <w:rFonts w:cs="Times New Roman"/>
                <w:i/>
                <w:color w:val="000000"/>
                <w:sz w:val="24"/>
                <w:szCs w:val="24"/>
              </w:rPr>
            </w:pPr>
            <w:r w:rsidRPr="000C32A6">
              <w:rPr>
                <w:rFonts w:cs="Times New Roman"/>
                <w:i/>
                <w:color w:val="000000"/>
                <w:sz w:val="24"/>
                <w:szCs w:val="24"/>
              </w:rPr>
              <w:t>Финансовая обеспеченность бюджетов</w:t>
            </w:r>
          </w:p>
        </w:tc>
      </w:tr>
      <w:tr w:rsidR="00990457" w:rsidRPr="000C32A6" w:rsidTr="00990457">
        <w:trPr>
          <w:trHeight w:val="561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обеспеченности расходов на выполнение собственных полномочий собственными доходами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45,5</w:t>
            </w:r>
          </w:p>
        </w:tc>
      </w:tr>
      <w:tr w:rsidR="00990457" w:rsidRPr="000C32A6" w:rsidTr="00990457">
        <w:trPr>
          <w:trHeight w:val="33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Отношение задолженности бюджета к общему объему расходов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9,1</w:t>
            </w:r>
          </w:p>
        </w:tc>
      </w:tr>
      <w:tr w:rsidR="00990457" w:rsidRPr="000C32A6" w:rsidTr="00990457">
        <w:trPr>
          <w:trHeight w:val="431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Степень сбалансированности бюджетов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101,3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102,0</w:t>
            </w:r>
          </w:p>
        </w:tc>
      </w:tr>
      <w:tr w:rsidR="00990457" w:rsidRPr="000C32A6" w:rsidTr="00990457">
        <w:trPr>
          <w:trHeight w:val="31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бюджетной обеспеченности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102,6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101,0</w:t>
            </w:r>
          </w:p>
        </w:tc>
      </w:tr>
      <w:tr w:rsidR="00990457" w:rsidRPr="000C32A6" w:rsidTr="00990457">
        <w:trPr>
          <w:trHeight w:val="67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Отношение долга муниципальных образований к доходам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0</w:t>
            </w:r>
          </w:p>
        </w:tc>
      </w:tr>
      <w:tr w:rsidR="00990457" w:rsidRPr="000C32A6" w:rsidTr="00990457">
        <w:trPr>
          <w:trHeight w:val="486"/>
        </w:trPr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в рейтинге по финансовой устойчивости бюджетов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596A90" w:rsidRDefault="00990457" w:rsidP="00596A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596A90" w:rsidRDefault="00990457" w:rsidP="00596A9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90457" w:rsidRPr="000C32A6" w:rsidTr="00690F3C">
        <w:trPr>
          <w:trHeight w:val="198"/>
        </w:trPr>
        <w:tc>
          <w:tcPr>
            <w:tcW w:w="91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DA7BAB">
            <w:pPr>
              <w:spacing w:after="0" w:line="240" w:lineRule="auto"/>
              <w:jc w:val="center"/>
              <w:rPr>
                <w:rFonts w:cs="Times New Roman"/>
                <w:i/>
                <w:color w:val="000000"/>
                <w:sz w:val="24"/>
                <w:szCs w:val="24"/>
              </w:rPr>
            </w:pPr>
            <w:r w:rsidRPr="000C32A6">
              <w:rPr>
                <w:rFonts w:cs="Times New Roman"/>
                <w:i/>
                <w:color w:val="000000"/>
                <w:sz w:val="24"/>
                <w:szCs w:val="24"/>
              </w:rPr>
              <w:t>Обеспеченность объектами социальной и инженерной инфраструктуры</w:t>
            </w:r>
          </w:p>
        </w:tc>
      </w:tr>
      <w:tr w:rsidR="00990457" w:rsidRPr="000C32A6" w:rsidTr="00990457">
        <w:trPr>
          <w:trHeight w:val="4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D3A02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Обеспеченность дет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скими дошкольными учреждениями**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мест на 1000 детей дошкольного возраста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689,0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767,0</w:t>
            </w:r>
          </w:p>
        </w:tc>
      </w:tr>
      <w:tr w:rsidR="00990457" w:rsidRPr="000C32A6" w:rsidTr="00990457">
        <w:trPr>
          <w:trHeight w:val="1551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D3A02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 xml:space="preserve">Численность обучающихся в первую смену в дневных учреждениях общего образования в </w:t>
            </w:r>
            <w:proofErr w:type="gramStart"/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процентах</w:t>
            </w:r>
            <w:proofErr w:type="gramEnd"/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 xml:space="preserve"> к общему числу обучающихся в этих учреждениях </w:t>
            </w: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br/>
              <w:t>(2018-2019 уч. год)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99,1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98,6</w:t>
            </w:r>
          </w:p>
        </w:tc>
      </w:tr>
      <w:tr w:rsidR="00990457" w:rsidRPr="000C32A6" w:rsidTr="00990457">
        <w:trPr>
          <w:trHeight w:val="51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D3A02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Обеспеченность больничными койками*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*</w:t>
            </w: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на 10000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31,6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23,3</w:t>
            </w:r>
          </w:p>
        </w:tc>
      </w:tr>
      <w:tr w:rsidR="00990457" w:rsidRPr="000C32A6" w:rsidTr="00990457">
        <w:trPr>
          <w:trHeight w:val="4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2C62CD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Обеспеченность амбулаторно-поликлиническими учреждениями*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*</w:t>
            </w: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1E0682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 xml:space="preserve">посещений в </w:t>
            </w: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br/>
              <w:t>смену на 10000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100,7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990457">
              <w:rPr>
                <w:color w:val="000000"/>
                <w:sz w:val="24"/>
                <w:szCs w:val="24"/>
              </w:rPr>
              <w:t>135,3</w:t>
            </w:r>
          </w:p>
        </w:tc>
      </w:tr>
      <w:tr w:rsidR="00990457" w:rsidRPr="000C32A6" w:rsidTr="00990457">
        <w:trPr>
          <w:trHeight w:val="559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690F3C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Удельный вес площади, оборудованной водопроводом*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2C62CD">
            <w:pPr>
              <w:spacing w:after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41,6</w:t>
            </w:r>
          </w:p>
        </w:tc>
      </w:tr>
      <w:tr w:rsidR="00990457" w:rsidRPr="000C32A6" w:rsidTr="00990457">
        <w:trPr>
          <w:trHeight w:val="589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690F3C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Удельный вес площади, оборудованной канализацией*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32,8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37,3</w:t>
            </w:r>
          </w:p>
        </w:tc>
      </w:tr>
      <w:tr w:rsidR="00990457" w:rsidRPr="000C32A6" w:rsidTr="00990457">
        <w:trPr>
          <w:trHeight w:val="4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690F3C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Удельный вес площади, оборудованной отоплением*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41,3</w:t>
            </w:r>
          </w:p>
        </w:tc>
      </w:tr>
      <w:tr w:rsidR="00990457" w:rsidRPr="000C32A6" w:rsidTr="00990457">
        <w:trPr>
          <w:trHeight w:val="48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690F3C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/>
                <w:sz w:val="24"/>
                <w:szCs w:val="24"/>
              </w:rPr>
              <w:t>Удельный вес площади, оборудованной  горячим водоснабжением*</w:t>
            </w:r>
            <w:r>
              <w:rPr>
                <w:rFonts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7711E4">
            <w:pPr>
              <w:spacing w:after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C32A6">
              <w:rPr>
                <w:rFonts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99045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34,5</w:t>
            </w:r>
          </w:p>
        </w:tc>
      </w:tr>
      <w:tr w:rsidR="00990457" w:rsidRPr="000C32A6" w:rsidTr="00990457">
        <w:trPr>
          <w:trHeight w:val="486"/>
        </w:trPr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в рейтинге по обеспеченности объектами социальной и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457" w:rsidRPr="00990457" w:rsidRDefault="00990457" w:rsidP="00990457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90457" w:rsidRPr="000C32A6" w:rsidTr="00990457">
        <w:trPr>
          <w:trHeight w:val="486"/>
        </w:trPr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0457" w:rsidRPr="000C32A6" w:rsidRDefault="00990457" w:rsidP="0032471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32A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Комплексная рейтинговая оценка уровня социально-экономического развития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0457" w:rsidRPr="000C32A6" w:rsidRDefault="00990457" w:rsidP="0032471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0457" w:rsidRPr="000C32A6" w:rsidRDefault="00990457" w:rsidP="00D8071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840823" w:rsidRPr="00AE545A" w:rsidRDefault="00C05F3B" w:rsidP="0084082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eastAsia="Times New Roman" w:cs="Times New Roman"/>
          <w:color w:val="000000" w:themeColor="text1"/>
          <w:sz w:val="20"/>
          <w:szCs w:val="20"/>
          <w:lang w:eastAsia="ru-RU"/>
        </w:rPr>
        <w:t>* Д</w:t>
      </w:r>
      <w:r w:rsidR="00840823" w:rsidRPr="00AE545A">
        <w:rPr>
          <w:rFonts w:eastAsia="Times New Roman" w:cs="Times New Roman"/>
          <w:sz w:val="20"/>
          <w:szCs w:val="20"/>
          <w:lang w:eastAsia="ru-RU"/>
        </w:rPr>
        <w:t>анные не публикуются в целях  обеспечения конфиденциальности  первичных статистических данных, полученных от организаций в соответствии с Федеральным законом от 29 ноября 2007 г. № 282-ФЗ «Об официальном статистическом учете и системе государственной статистики в Российской Федерации» (ст. 4 п. 5; ст. 9 п. 1)</w:t>
      </w:r>
      <w:r w:rsidR="00840823">
        <w:rPr>
          <w:rFonts w:eastAsia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840823" w:rsidRPr="00AE545A" w:rsidRDefault="00840823" w:rsidP="0084082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AE545A">
        <w:rPr>
          <w:rFonts w:eastAsia="Times New Roman" w:cs="Times New Roman"/>
          <w:sz w:val="20"/>
          <w:szCs w:val="20"/>
          <w:lang w:eastAsia="ru-RU"/>
        </w:rPr>
        <w:t>**</w:t>
      </w:r>
      <w:r>
        <w:rPr>
          <w:rFonts w:eastAsia="Times New Roman" w:cs="Times New Roman"/>
          <w:sz w:val="2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 w:val="20"/>
          <w:szCs w:val="20"/>
          <w:lang w:eastAsia="ru-RU"/>
        </w:rPr>
        <w:t>П</w:t>
      </w:r>
      <w:r w:rsidRPr="00880E50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о состоянию </w:t>
      </w:r>
      <w:proofErr w:type="gramStart"/>
      <w:r w:rsidRPr="00880E50">
        <w:rPr>
          <w:rFonts w:eastAsia="Times New Roman" w:cs="Times New Roman"/>
          <w:color w:val="000000" w:themeColor="text1"/>
          <w:sz w:val="20"/>
          <w:szCs w:val="20"/>
          <w:lang w:eastAsia="ru-RU"/>
        </w:rPr>
        <w:t>на конец</w:t>
      </w:r>
      <w:proofErr w:type="gramEnd"/>
      <w:r w:rsidRPr="00880E50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2018 года</w:t>
      </w:r>
      <w:r>
        <w:rPr>
          <w:rFonts w:eastAsia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101F61" w:rsidRDefault="00101F61" w:rsidP="002C62CD">
      <w:pPr>
        <w:shd w:val="clear" w:color="auto" w:fill="FFFFFF"/>
        <w:spacing w:after="0" w:line="276" w:lineRule="auto"/>
        <w:rPr>
          <w:rFonts w:eastAsia="Times New Roman" w:cs="Times New Roman"/>
          <w:color w:val="1F497D" w:themeColor="text2"/>
          <w:sz w:val="26"/>
          <w:szCs w:val="26"/>
          <w:lang w:eastAsia="ru-RU"/>
        </w:rPr>
      </w:pPr>
    </w:p>
    <w:sectPr w:rsidR="00101F61" w:rsidSect="00A05287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8F5" w:rsidRDefault="006C78F5">
      <w:pPr>
        <w:spacing w:after="0" w:line="240" w:lineRule="auto"/>
      </w:pPr>
      <w:r>
        <w:separator/>
      </w:r>
    </w:p>
  </w:endnote>
  <w:endnote w:type="continuationSeparator" w:id="0">
    <w:p w:rsidR="006C78F5" w:rsidRDefault="006C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8F5" w:rsidRDefault="006C78F5">
      <w:pPr>
        <w:spacing w:after="0" w:line="240" w:lineRule="auto"/>
      </w:pPr>
      <w:r>
        <w:separator/>
      </w:r>
    </w:p>
  </w:footnote>
  <w:footnote w:type="continuationSeparator" w:id="0">
    <w:p w:rsidR="006C78F5" w:rsidRDefault="006C7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70204"/>
      <w:docPartObj>
        <w:docPartGallery w:val="Page Numbers (Top of Page)"/>
        <w:docPartUnique/>
      </w:docPartObj>
    </w:sdtPr>
    <w:sdtEndPr/>
    <w:sdtContent>
      <w:p w:rsidR="00A05287" w:rsidRDefault="00A0528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457">
          <w:rPr>
            <w:noProof/>
          </w:rPr>
          <w:t>10</w:t>
        </w:r>
        <w:r>
          <w:fldChar w:fldCharType="end"/>
        </w:r>
      </w:p>
    </w:sdtContent>
  </w:sdt>
  <w:p w:rsidR="003F6913" w:rsidRDefault="003F6913" w:rsidP="00973D97">
    <w:pPr>
      <w:pStyle w:val="ab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2A6" w:rsidRDefault="000C32A6">
    <w:pPr>
      <w:pStyle w:val="ab"/>
      <w:jc w:val="center"/>
    </w:pPr>
  </w:p>
  <w:p w:rsidR="00973D97" w:rsidRDefault="00973D9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943"/>
    <w:multiLevelType w:val="hybridMultilevel"/>
    <w:tmpl w:val="BE904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75F7D"/>
    <w:multiLevelType w:val="hybridMultilevel"/>
    <w:tmpl w:val="34588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652DE"/>
    <w:multiLevelType w:val="hybridMultilevel"/>
    <w:tmpl w:val="97702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DE370F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8BB7D5C"/>
    <w:multiLevelType w:val="hybridMultilevel"/>
    <w:tmpl w:val="9122623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C36317"/>
    <w:multiLevelType w:val="hybridMultilevel"/>
    <w:tmpl w:val="4BE892A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780A15"/>
    <w:multiLevelType w:val="hybridMultilevel"/>
    <w:tmpl w:val="36165D2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940AC6"/>
    <w:multiLevelType w:val="hybridMultilevel"/>
    <w:tmpl w:val="72F21E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34FC7895"/>
    <w:multiLevelType w:val="hybridMultilevel"/>
    <w:tmpl w:val="4626B6B4"/>
    <w:lvl w:ilvl="0" w:tplc="737CE92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25407F"/>
    <w:multiLevelType w:val="hybridMultilevel"/>
    <w:tmpl w:val="79C03A5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10086F"/>
    <w:multiLevelType w:val="hybridMultilevel"/>
    <w:tmpl w:val="B8541B74"/>
    <w:lvl w:ilvl="0" w:tplc="996C3D0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8C1505"/>
    <w:multiLevelType w:val="hybridMultilevel"/>
    <w:tmpl w:val="0FE04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356F97"/>
    <w:multiLevelType w:val="hybridMultilevel"/>
    <w:tmpl w:val="0D2A8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D2227C"/>
    <w:multiLevelType w:val="hybridMultilevel"/>
    <w:tmpl w:val="066248B4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485252"/>
    <w:multiLevelType w:val="hybridMultilevel"/>
    <w:tmpl w:val="AB56B452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4311D9"/>
    <w:multiLevelType w:val="hybridMultilevel"/>
    <w:tmpl w:val="C38E9866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1956E1"/>
    <w:multiLevelType w:val="hybridMultilevel"/>
    <w:tmpl w:val="61A46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B93BED"/>
    <w:multiLevelType w:val="multilevel"/>
    <w:tmpl w:val="6DA8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7D4CB2"/>
    <w:multiLevelType w:val="hybridMultilevel"/>
    <w:tmpl w:val="C8D2A5DC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1088C"/>
    <w:multiLevelType w:val="hybridMultilevel"/>
    <w:tmpl w:val="D3E22ABA"/>
    <w:lvl w:ilvl="0" w:tplc="56F08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5"/>
  </w:num>
  <w:num w:numId="5">
    <w:abstractNumId w:val="10"/>
  </w:num>
  <w:num w:numId="6">
    <w:abstractNumId w:val="16"/>
  </w:num>
  <w:num w:numId="7">
    <w:abstractNumId w:val="13"/>
  </w:num>
  <w:num w:numId="8">
    <w:abstractNumId w:val="4"/>
  </w:num>
  <w:num w:numId="9">
    <w:abstractNumId w:val="5"/>
  </w:num>
  <w:num w:numId="10">
    <w:abstractNumId w:val="19"/>
  </w:num>
  <w:num w:numId="11">
    <w:abstractNumId w:val="18"/>
  </w:num>
  <w:num w:numId="12">
    <w:abstractNumId w:val="14"/>
  </w:num>
  <w:num w:numId="13">
    <w:abstractNumId w:val="3"/>
  </w:num>
  <w:num w:numId="14">
    <w:abstractNumId w:val="0"/>
  </w:num>
  <w:num w:numId="15">
    <w:abstractNumId w:val="12"/>
  </w:num>
  <w:num w:numId="16">
    <w:abstractNumId w:val="11"/>
  </w:num>
  <w:num w:numId="17">
    <w:abstractNumId w:val="8"/>
  </w:num>
  <w:num w:numId="18">
    <w:abstractNumId w:val="17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66"/>
    <w:rsid w:val="000009D2"/>
    <w:rsid w:val="000015A8"/>
    <w:rsid w:val="00001608"/>
    <w:rsid w:val="00001AA0"/>
    <w:rsid w:val="00001CE7"/>
    <w:rsid w:val="00002092"/>
    <w:rsid w:val="00002A89"/>
    <w:rsid w:val="000033DF"/>
    <w:rsid w:val="000038CE"/>
    <w:rsid w:val="00004492"/>
    <w:rsid w:val="000048AC"/>
    <w:rsid w:val="0000510B"/>
    <w:rsid w:val="000058B9"/>
    <w:rsid w:val="00007DE5"/>
    <w:rsid w:val="000106F1"/>
    <w:rsid w:val="0001186A"/>
    <w:rsid w:val="0001194E"/>
    <w:rsid w:val="0001462E"/>
    <w:rsid w:val="00016456"/>
    <w:rsid w:val="000172F8"/>
    <w:rsid w:val="000176C1"/>
    <w:rsid w:val="000176D1"/>
    <w:rsid w:val="00020284"/>
    <w:rsid w:val="00020577"/>
    <w:rsid w:val="000213F8"/>
    <w:rsid w:val="00021C0B"/>
    <w:rsid w:val="00021F4D"/>
    <w:rsid w:val="00022576"/>
    <w:rsid w:val="00023A37"/>
    <w:rsid w:val="0002463A"/>
    <w:rsid w:val="00025236"/>
    <w:rsid w:val="0002533D"/>
    <w:rsid w:val="00025613"/>
    <w:rsid w:val="00027320"/>
    <w:rsid w:val="00030544"/>
    <w:rsid w:val="00030CE7"/>
    <w:rsid w:val="0003145D"/>
    <w:rsid w:val="00031DA3"/>
    <w:rsid w:val="00035FDA"/>
    <w:rsid w:val="00036046"/>
    <w:rsid w:val="0003628D"/>
    <w:rsid w:val="00036729"/>
    <w:rsid w:val="000401A2"/>
    <w:rsid w:val="000415F8"/>
    <w:rsid w:val="00041A03"/>
    <w:rsid w:val="00041BC8"/>
    <w:rsid w:val="00042A4D"/>
    <w:rsid w:val="00042BB6"/>
    <w:rsid w:val="00043AFC"/>
    <w:rsid w:val="0004466A"/>
    <w:rsid w:val="00046130"/>
    <w:rsid w:val="0004694D"/>
    <w:rsid w:val="00046D49"/>
    <w:rsid w:val="00047315"/>
    <w:rsid w:val="000476FA"/>
    <w:rsid w:val="00047F2D"/>
    <w:rsid w:val="0005062A"/>
    <w:rsid w:val="00050799"/>
    <w:rsid w:val="0005176F"/>
    <w:rsid w:val="0005183C"/>
    <w:rsid w:val="00051ABD"/>
    <w:rsid w:val="000524E8"/>
    <w:rsid w:val="00052FD1"/>
    <w:rsid w:val="0005364E"/>
    <w:rsid w:val="000541FE"/>
    <w:rsid w:val="00054CCD"/>
    <w:rsid w:val="00054EEC"/>
    <w:rsid w:val="0005572C"/>
    <w:rsid w:val="000578D6"/>
    <w:rsid w:val="000579D1"/>
    <w:rsid w:val="00060C78"/>
    <w:rsid w:val="000631CF"/>
    <w:rsid w:val="00063CF4"/>
    <w:rsid w:val="00065268"/>
    <w:rsid w:val="000652BD"/>
    <w:rsid w:val="000661A8"/>
    <w:rsid w:val="00066483"/>
    <w:rsid w:val="000665C0"/>
    <w:rsid w:val="00066DFD"/>
    <w:rsid w:val="00067619"/>
    <w:rsid w:val="0006770D"/>
    <w:rsid w:val="0006789F"/>
    <w:rsid w:val="000713FA"/>
    <w:rsid w:val="00071786"/>
    <w:rsid w:val="00071AEB"/>
    <w:rsid w:val="000723FD"/>
    <w:rsid w:val="000726E3"/>
    <w:rsid w:val="00072F85"/>
    <w:rsid w:val="0007696A"/>
    <w:rsid w:val="000771CE"/>
    <w:rsid w:val="00077865"/>
    <w:rsid w:val="00077AE1"/>
    <w:rsid w:val="00077CC3"/>
    <w:rsid w:val="00077DD5"/>
    <w:rsid w:val="00083BD1"/>
    <w:rsid w:val="000845F4"/>
    <w:rsid w:val="00085208"/>
    <w:rsid w:val="00085726"/>
    <w:rsid w:val="000866BB"/>
    <w:rsid w:val="000873DF"/>
    <w:rsid w:val="00087E4A"/>
    <w:rsid w:val="0009083E"/>
    <w:rsid w:val="00090D87"/>
    <w:rsid w:val="000926E4"/>
    <w:rsid w:val="00092F4C"/>
    <w:rsid w:val="000934A9"/>
    <w:rsid w:val="00094938"/>
    <w:rsid w:val="000952DF"/>
    <w:rsid w:val="00096FDE"/>
    <w:rsid w:val="000974F6"/>
    <w:rsid w:val="00097751"/>
    <w:rsid w:val="000A044B"/>
    <w:rsid w:val="000A0D90"/>
    <w:rsid w:val="000A2799"/>
    <w:rsid w:val="000A5FA7"/>
    <w:rsid w:val="000A6804"/>
    <w:rsid w:val="000A6A72"/>
    <w:rsid w:val="000A6D94"/>
    <w:rsid w:val="000A75DD"/>
    <w:rsid w:val="000A7C41"/>
    <w:rsid w:val="000B099C"/>
    <w:rsid w:val="000B193F"/>
    <w:rsid w:val="000B2086"/>
    <w:rsid w:val="000B30AB"/>
    <w:rsid w:val="000B37EC"/>
    <w:rsid w:val="000B3B3E"/>
    <w:rsid w:val="000B58CD"/>
    <w:rsid w:val="000B624D"/>
    <w:rsid w:val="000B72F7"/>
    <w:rsid w:val="000B7635"/>
    <w:rsid w:val="000B780C"/>
    <w:rsid w:val="000C1189"/>
    <w:rsid w:val="000C19D8"/>
    <w:rsid w:val="000C293B"/>
    <w:rsid w:val="000C303A"/>
    <w:rsid w:val="000C32A6"/>
    <w:rsid w:val="000C33FA"/>
    <w:rsid w:val="000C3980"/>
    <w:rsid w:val="000C42B1"/>
    <w:rsid w:val="000C5939"/>
    <w:rsid w:val="000C5F68"/>
    <w:rsid w:val="000C6E39"/>
    <w:rsid w:val="000C7015"/>
    <w:rsid w:val="000D0161"/>
    <w:rsid w:val="000D131A"/>
    <w:rsid w:val="000D23B3"/>
    <w:rsid w:val="000D2537"/>
    <w:rsid w:val="000D27A6"/>
    <w:rsid w:val="000D2BC3"/>
    <w:rsid w:val="000D2CE0"/>
    <w:rsid w:val="000D2D76"/>
    <w:rsid w:val="000D3344"/>
    <w:rsid w:val="000D3D6A"/>
    <w:rsid w:val="000D3F07"/>
    <w:rsid w:val="000D4458"/>
    <w:rsid w:val="000D4532"/>
    <w:rsid w:val="000D4DD9"/>
    <w:rsid w:val="000D6536"/>
    <w:rsid w:val="000E0770"/>
    <w:rsid w:val="000E09C4"/>
    <w:rsid w:val="000E0F8F"/>
    <w:rsid w:val="000E16B9"/>
    <w:rsid w:val="000E2427"/>
    <w:rsid w:val="000E3981"/>
    <w:rsid w:val="000E423D"/>
    <w:rsid w:val="000E48DC"/>
    <w:rsid w:val="000E51BD"/>
    <w:rsid w:val="000E552E"/>
    <w:rsid w:val="000E572D"/>
    <w:rsid w:val="000E7AA8"/>
    <w:rsid w:val="000E7FEB"/>
    <w:rsid w:val="000F16E5"/>
    <w:rsid w:val="000F1AB6"/>
    <w:rsid w:val="000F53BB"/>
    <w:rsid w:val="000F5757"/>
    <w:rsid w:val="000F5D53"/>
    <w:rsid w:val="00101430"/>
    <w:rsid w:val="00101A59"/>
    <w:rsid w:val="00101F61"/>
    <w:rsid w:val="001038A0"/>
    <w:rsid w:val="00103FB3"/>
    <w:rsid w:val="00104421"/>
    <w:rsid w:val="00106032"/>
    <w:rsid w:val="00106D39"/>
    <w:rsid w:val="00106FBF"/>
    <w:rsid w:val="001105D8"/>
    <w:rsid w:val="001107B3"/>
    <w:rsid w:val="00112518"/>
    <w:rsid w:val="0011258E"/>
    <w:rsid w:val="0011368E"/>
    <w:rsid w:val="0011398A"/>
    <w:rsid w:val="00113D13"/>
    <w:rsid w:val="00114223"/>
    <w:rsid w:val="00115259"/>
    <w:rsid w:val="0011626F"/>
    <w:rsid w:val="00120CF7"/>
    <w:rsid w:val="00120F23"/>
    <w:rsid w:val="00121553"/>
    <w:rsid w:val="001215E4"/>
    <w:rsid w:val="00122960"/>
    <w:rsid w:val="0012340A"/>
    <w:rsid w:val="001235B1"/>
    <w:rsid w:val="0012469F"/>
    <w:rsid w:val="0012475D"/>
    <w:rsid w:val="00124CE6"/>
    <w:rsid w:val="001259B5"/>
    <w:rsid w:val="00125E31"/>
    <w:rsid w:val="001263E4"/>
    <w:rsid w:val="0012645F"/>
    <w:rsid w:val="001270A9"/>
    <w:rsid w:val="0013194C"/>
    <w:rsid w:val="00131E1E"/>
    <w:rsid w:val="00133B1D"/>
    <w:rsid w:val="001342BC"/>
    <w:rsid w:val="001344A5"/>
    <w:rsid w:val="00135582"/>
    <w:rsid w:val="00135663"/>
    <w:rsid w:val="0013643A"/>
    <w:rsid w:val="0013797A"/>
    <w:rsid w:val="00137AC2"/>
    <w:rsid w:val="00140AB8"/>
    <w:rsid w:val="00140BD6"/>
    <w:rsid w:val="00144910"/>
    <w:rsid w:val="001454AA"/>
    <w:rsid w:val="00145B7B"/>
    <w:rsid w:val="00145CD4"/>
    <w:rsid w:val="00146F2E"/>
    <w:rsid w:val="00147230"/>
    <w:rsid w:val="0015074B"/>
    <w:rsid w:val="0015087A"/>
    <w:rsid w:val="00151008"/>
    <w:rsid w:val="00151319"/>
    <w:rsid w:val="0015323B"/>
    <w:rsid w:val="00153B52"/>
    <w:rsid w:val="001541F5"/>
    <w:rsid w:val="001546F4"/>
    <w:rsid w:val="0015498A"/>
    <w:rsid w:val="00155CC9"/>
    <w:rsid w:val="00157EC9"/>
    <w:rsid w:val="00160ACE"/>
    <w:rsid w:val="00161132"/>
    <w:rsid w:val="001612F8"/>
    <w:rsid w:val="00161310"/>
    <w:rsid w:val="00161D89"/>
    <w:rsid w:val="0016239C"/>
    <w:rsid w:val="00163E84"/>
    <w:rsid w:val="00166F3B"/>
    <w:rsid w:val="00167B8E"/>
    <w:rsid w:val="00167C8E"/>
    <w:rsid w:val="00167EE7"/>
    <w:rsid w:val="0017001A"/>
    <w:rsid w:val="00170164"/>
    <w:rsid w:val="0017022C"/>
    <w:rsid w:val="001705DC"/>
    <w:rsid w:val="001714E7"/>
    <w:rsid w:val="00171FDB"/>
    <w:rsid w:val="00173465"/>
    <w:rsid w:val="00173A4C"/>
    <w:rsid w:val="0017410C"/>
    <w:rsid w:val="00174E5B"/>
    <w:rsid w:val="00177162"/>
    <w:rsid w:val="00177172"/>
    <w:rsid w:val="001773C7"/>
    <w:rsid w:val="001779F6"/>
    <w:rsid w:val="0018081A"/>
    <w:rsid w:val="00180986"/>
    <w:rsid w:val="00180C9B"/>
    <w:rsid w:val="00180FA6"/>
    <w:rsid w:val="00181195"/>
    <w:rsid w:val="00181A17"/>
    <w:rsid w:val="001823C2"/>
    <w:rsid w:val="00182636"/>
    <w:rsid w:val="00183067"/>
    <w:rsid w:val="001834A1"/>
    <w:rsid w:val="001834CF"/>
    <w:rsid w:val="001842C8"/>
    <w:rsid w:val="001848D6"/>
    <w:rsid w:val="00184EAF"/>
    <w:rsid w:val="001865C3"/>
    <w:rsid w:val="00186CA2"/>
    <w:rsid w:val="00190B91"/>
    <w:rsid w:val="00190C9F"/>
    <w:rsid w:val="00190E5F"/>
    <w:rsid w:val="0019119E"/>
    <w:rsid w:val="00191ED4"/>
    <w:rsid w:val="00192514"/>
    <w:rsid w:val="001926F8"/>
    <w:rsid w:val="001928FC"/>
    <w:rsid w:val="001945E1"/>
    <w:rsid w:val="00194A39"/>
    <w:rsid w:val="00195262"/>
    <w:rsid w:val="00195A33"/>
    <w:rsid w:val="00195D47"/>
    <w:rsid w:val="00195E4E"/>
    <w:rsid w:val="00195EBE"/>
    <w:rsid w:val="001966B6"/>
    <w:rsid w:val="00196EAD"/>
    <w:rsid w:val="001977B1"/>
    <w:rsid w:val="00197856"/>
    <w:rsid w:val="001A0117"/>
    <w:rsid w:val="001A0709"/>
    <w:rsid w:val="001A18D2"/>
    <w:rsid w:val="001A2DF7"/>
    <w:rsid w:val="001A321E"/>
    <w:rsid w:val="001A3663"/>
    <w:rsid w:val="001A38AC"/>
    <w:rsid w:val="001A537F"/>
    <w:rsid w:val="001A5B86"/>
    <w:rsid w:val="001A61CE"/>
    <w:rsid w:val="001A6291"/>
    <w:rsid w:val="001A6307"/>
    <w:rsid w:val="001A6AA6"/>
    <w:rsid w:val="001A7E4B"/>
    <w:rsid w:val="001B006E"/>
    <w:rsid w:val="001B2783"/>
    <w:rsid w:val="001B3770"/>
    <w:rsid w:val="001B3E3F"/>
    <w:rsid w:val="001B4EA9"/>
    <w:rsid w:val="001B522D"/>
    <w:rsid w:val="001B55BC"/>
    <w:rsid w:val="001B7AD1"/>
    <w:rsid w:val="001C1D6D"/>
    <w:rsid w:val="001C3429"/>
    <w:rsid w:val="001C44CC"/>
    <w:rsid w:val="001C5BC6"/>
    <w:rsid w:val="001C672F"/>
    <w:rsid w:val="001D105C"/>
    <w:rsid w:val="001D175D"/>
    <w:rsid w:val="001D2C8F"/>
    <w:rsid w:val="001D4370"/>
    <w:rsid w:val="001D4CE2"/>
    <w:rsid w:val="001D52BB"/>
    <w:rsid w:val="001D5FEE"/>
    <w:rsid w:val="001D6215"/>
    <w:rsid w:val="001D7786"/>
    <w:rsid w:val="001E0682"/>
    <w:rsid w:val="001E1891"/>
    <w:rsid w:val="001E2198"/>
    <w:rsid w:val="001E3153"/>
    <w:rsid w:val="001E35FF"/>
    <w:rsid w:val="001E4096"/>
    <w:rsid w:val="001E60E3"/>
    <w:rsid w:val="001E6A24"/>
    <w:rsid w:val="001E7E21"/>
    <w:rsid w:val="001F0A9D"/>
    <w:rsid w:val="001F0ED6"/>
    <w:rsid w:val="001F261A"/>
    <w:rsid w:val="001F3571"/>
    <w:rsid w:val="001F3A74"/>
    <w:rsid w:val="001F3C0E"/>
    <w:rsid w:val="001F48B8"/>
    <w:rsid w:val="001F4B8E"/>
    <w:rsid w:val="001F4D2B"/>
    <w:rsid w:val="001F74CA"/>
    <w:rsid w:val="00200AF8"/>
    <w:rsid w:val="002011C2"/>
    <w:rsid w:val="00202122"/>
    <w:rsid w:val="00202CAA"/>
    <w:rsid w:val="00203B51"/>
    <w:rsid w:val="00203C08"/>
    <w:rsid w:val="002047FA"/>
    <w:rsid w:val="00206C71"/>
    <w:rsid w:val="00207F42"/>
    <w:rsid w:val="0021229E"/>
    <w:rsid w:val="00213056"/>
    <w:rsid w:val="002130A6"/>
    <w:rsid w:val="002131DD"/>
    <w:rsid w:val="00213717"/>
    <w:rsid w:val="00215C9F"/>
    <w:rsid w:val="002167F8"/>
    <w:rsid w:val="00216871"/>
    <w:rsid w:val="00216C94"/>
    <w:rsid w:val="00217218"/>
    <w:rsid w:val="002206ED"/>
    <w:rsid w:val="00221120"/>
    <w:rsid w:val="00221E04"/>
    <w:rsid w:val="002220AE"/>
    <w:rsid w:val="00222850"/>
    <w:rsid w:val="00222A35"/>
    <w:rsid w:val="00222CE4"/>
    <w:rsid w:val="0022347F"/>
    <w:rsid w:val="00223EFD"/>
    <w:rsid w:val="002246EF"/>
    <w:rsid w:val="00224B3A"/>
    <w:rsid w:val="00225D26"/>
    <w:rsid w:val="00226BB9"/>
    <w:rsid w:val="002301A4"/>
    <w:rsid w:val="0023140A"/>
    <w:rsid w:val="00232C9C"/>
    <w:rsid w:val="00233DB5"/>
    <w:rsid w:val="00233EC5"/>
    <w:rsid w:val="00234B99"/>
    <w:rsid w:val="00234C8B"/>
    <w:rsid w:val="00235A3A"/>
    <w:rsid w:val="00235B24"/>
    <w:rsid w:val="00235CF6"/>
    <w:rsid w:val="00236C4E"/>
    <w:rsid w:val="00236DEB"/>
    <w:rsid w:val="00237978"/>
    <w:rsid w:val="0023797D"/>
    <w:rsid w:val="002405A9"/>
    <w:rsid w:val="00240690"/>
    <w:rsid w:val="00240F59"/>
    <w:rsid w:val="00242643"/>
    <w:rsid w:val="00242975"/>
    <w:rsid w:val="00246A8A"/>
    <w:rsid w:val="00247186"/>
    <w:rsid w:val="00247DBB"/>
    <w:rsid w:val="0025008C"/>
    <w:rsid w:val="002509A5"/>
    <w:rsid w:val="00250FC8"/>
    <w:rsid w:val="002528B4"/>
    <w:rsid w:val="00254FD3"/>
    <w:rsid w:val="00255F10"/>
    <w:rsid w:val="002567DD"/>
    <w:rsid w:val="00257CE4"/>
    <w:rsid w:val="00260839"/>
    <w:rsid w:val="0026185A"/>
    <w:rsid w:val="002625E3"/>
    <w:rsid w:val="0026322A"/>
    <w:rsid w:val="0026368E"/>
    <w:rsid w:val="002639F6"/>
    <w:rsid w:val="002647FC"/>
    <w:rsid w:val="00264C77"/>
    <w:rsid w:val="0026535F"/>
    <w:rsid w:val="00265426"/>
    <w:rsid w:val="0026577B"/>
    <w:rsid w:val="00265EDA"/>
    <w:rsid w:val="00266339"/>
    <w:rsid w:val="002671B7"/>
    <w:rsid w:val="00267762"/>
    <w:rsid w:val="00267941"/>
    <w:rsid w:val="002679FF"/>
    <w:rsid w:val="002703B6"/>
    <w:rsid w:val="00270528"/>
    <w:rsid w:val="00271F50"/>
    <w:rsid w:val="002723F4"/>
    <w:rsid w:val="0027275C"/>
    <w:rsid w:val="00273D6E"/>
    <w:rsid w:val="002743A8"/>
    <w:rsid w:val="00274899"/>
    <w:rsid w:val="002754D2"/>
    <w:rsid w:val="00275963"/>
    <w:rsid w:val="00275A76"/>
    <w:rsid w:val="00275E12"/>
    <w:rsid w:val="002760EB"/>
    <w:rsid w:val="00276DE5"/>
    <w:rsid w:val="00277352"/>
    <w:rsid w:val="00280876"/>
    <w:rsid w:val="00280C7F"/>
    <w:rsid w:val="00280E5D"/>
    <w:rsid w:val="00282C74"/>
    <w:rsid w:val="00283166"/>
    <w:rsid w:val="00283A45"/>
    <w:rsid w:val="00284386"/>
    <w:rsid w:val="002846C2"/>
    <w:rsid w:val="0028550C"/>
    <w:rsid w:val="00286F38"/>
    <w:rsid w:val="00287041"/>
    <w:rsid w:val="002875C1"/>
    <w:rsid w:val="00287F34"/>
    <w:rsid w:val="0029026C"/>
    <w:rsid w:val="002904ED"/>
    <w:rsid w:val="00290DB8"/>
    <w:rsid w:val="00290E80"/>
    <w:rsid w:val="00293511"/>
    <w:rsid w:val="00293CFE"/>
    <w:rsid w:val="00293EE2"/>
    <w:rsid w:val="00293FA2"/>
    <w:rsid w:val="00295228"/>
    <w:rsid w:val="0029532D"/>
    <w:rsid w:val="00295620"/>
    <w:rsid w:val="00295C53"/>
    <w:rsid w:val="00296561"/>
    <w:rsid w:val="00296B12"/>
    <w:rsid w:val="00296BE1"/>
    <w:rsid w:val="00296F27"/>
    <w:rsid w:val="002A10D1"/>
    <w:rsid w:val="002A1621"/>
    <w:rsid w:val="002A39EA"/>
    <w:rsid w:val="002A4BE4"/>
    <w:rsid w:val="002A6C4A"/>
    <w:rsid w:val="002A79CC"/>
    <w:rsid w:val="002B07E3"/>
    <w:rsid w:val="002B2000"/>
    <w:rsid w:val="002B2403"/>
    <w:rsid w:val="002B29D1"/>
    <w:rsid w:val="002B2A4B"/>
    <w:rsid w:val="002B3CA4"/>
    <w:rsid w:val="002B446B"/>
    <w:rsid w:val="002B5732"/>
    <w:rsid w:val="002B5FC8"/>
    <w:rsid w:val="002B6DA7"/>
    <w:rsid w:val="002B6EBE"/>
    <w:rsid w:val="002C090A"/>
    <w:rsid w:val="002C1303"/>
    <w:rsid w:val="002C30DC"/>
    <w:rsid w:val="002C3F09"/>
    <w:rsid w:val="002C5155"/>
    <w:rsid w:val="002C557D"/>
    <w:rsid w:val="002C5968"/>
    <w:rsid w:val="002C6296"/>
    <w:rsid w:val="002C62CD"/>
    <w:rsid w:val="002C6989"/>
    <w:rsid w:val="002C72B4"/>
    <w:rsid w:val="002C7A70"/>
    <w:rsid w:val="002C7C2C"/>
    <w:rsid w:val="002D0610"/>
    <w:rsid w:val="002D1189"/>
    <w:rsid w:val="002D15CF"/>
    <w:rsid w:val="002D1EDE"/>
    <w:rsid w:val="002D1F10"/>
    <w:rsid w:val="002D2F15"/>
    <w:rsid w:val="002D5483"/>
    <w:rsid w:val="002D6FCE"/>
    <w:rsid w:val="002D7026"/>
    <w:rsid w:val="002D7C63"/>
    <w:rsid w:val="002E1084"/>
    <w:rsid w:val="002E239B"/>
    <w:rsid w:val="002E2526"/>
    <w:rsid w:val="002E2BA3"/>
    <w:rsid w:val="002E5B8D"/>
    <w:rsid w:val="002E6718"/>
    <w:rsid w:val="002F00D6"/>
    <w:rsid w:val="002F069D"/>
    <w:rsid w:val="002F0A67"/>
    <w:rsid w:val="002F0C7D"/>
    <w:rsid w:val="002F19F3"/>
    <w:rsid w:val="002F1C92"/>
    <w:rsid w:val="002F2DC5"/>
    <w:rsid w:val="002F3620"/>
    <w:rsid w:val="002F48B0"/>
    <w:rsid w:val="002F4E64"/>
    <w:rsid w:val="002F60C7"/>
    <w:rsid w:val="002F6D97"/>
    <w:rsid w:val="002F6F0C"/>
    <w:rsid w:val="002F7690"/>
    <w:rsid w:val="002F794E"/>
    <w:rsid w:val="002F7B61"/>
    <w:rsid w:val="00300341"/>
    <w:rsid w:val="00301689"/>
    <w:rsid w:val="003022C1"/>
    <w:rsid w:val="00303290"/>
    <w:rsid w:val="00304696"/>
    <w:rsid w:val="00304DF3"/>
    <w:rsid w:val="00304FFB"/>
    <w:rsid w:val="0030516D"/>
    <w:rsid w:val="00305570"/>
    <w:rsid w:val="003065AD"/>
    <w:rsid w:val="00307012"/>
    <w:rsid w:val="0031030A"/>
    <w:rsid w:val="00311267"/>
    <w:rsid w:val="00311FAE"/>
    <w:rsid w:val="00314840"/>
    <w:rsid w:val="0031573D"/>
    <w:rsid w:val="00315CEF"/>
    <w:rsid w:val="00316403"/>
    <w:rsid w:val="00320477"/>
    <w:rsid w:val="003208A0"/>
    <w:rsid w:val="003208BA"/>
    <w:rsid w:val="003214E4"/>
    <w:rsid w:val="00321B1D"/>
    <w:rsid w:val="00321BD0"/>
    <w:rsid w:val="00321C77"/>
    <w:rsid w:val="00321F68"/>
    <w:rsid w:val="00321FF6"/>
    <w:rsid w:val="00322C2C"/>
    <w:rsid w:val="00323849"/>
    <w:rsid w:val="0032541D"/>
    <w:rsid w:val="0032735D"/>
    <w:rsid w:val="00327B5B"/>
    <w:rsid w:val="003302B6"/>
    <w:rsid w:val="003304F1"/>
    <w:rsid w:val="00330D53"/>
    <w:rsid w:val="00331353"/>
    <w:rsid w:val="0033225E"/>
    <w:rsid w:val="003325FF"/>
    <w:rsid w:val="003329A0"/>
    <w:rsid w:val="0033311D"/>
    <w:rsid w:val="00334973"/>
    <w:rsid w:val="00335DA1"/>
    <w:rsid w:val="0034018F"/>
    <w:rsid w:val="00340AEB"/>
    <w:rsid w:val="00342174"/>
    <w:rsid w:val="00343984"/>
    <w:rsid w:val="00343998"/>
    <w:rsid w:val="003451E0"/>
    <w:rsid w:val="00347658"/>
    <w:rsid w:val="0034792A"/>
    <w:rsid w:val="003506BE"/>
    <w:rsid w:val="00350EBD"/>
    <w:rsid w:val="00351C61"/>
    <w:rsid w:val="00351DC7"/>
    <w:rsid w:val="00352366"/>
    <w:rsid w:val="00352E89"/>
    <w:rsid w:val="00353B84"/>
    <w:rsid w:val="00353EA6"/>
    <w:rsid w:val="003540B0"/>
    <w:rsid w:val="00354624"/>
    <w:rsid w:val="003562F6"/>
    <w:rsid w:val="00357314"/>
    <w:rsid w:val="0035755A"/>
    <w:rsid w:val="00362103"/>
    <w:rsid w:val="0036211E"/>
    <w:rsid w:val="00362BBE"/>
    <w:rsid w:val="00362D7F"/>
    <w:rsid w:val="00363210"/>
    <w:rsid w:val="003635A5"/>
    <w:rsid w:val="003637E7"/>
    <w:rsid w:val="003640E7"/>
    <w:rsid w:val="0036479C"/>
    <w:rsid w:val="00364A4A"/>
    <w:rsid w:val="00365884"/>
    <w:rsid w:val="00365EA3"/>
    <w:rsid w:val="0036613D"/>
    <w:rsid w:val="00366F40"/>
    <w:rsid w:val="003671B0"/>
    <w:rsid w:val="003671F9"/>
    <w:rsid w:val="00367C2B"/>
    <w:rsid w:val="00370DEC"/>
    <w:rsid w:val="00370E72"/>
    <w:rsid w:val="003720C7"/>
    <w:rsid w:val="00372125"/>
    <w:rsid w:val="003721A1"/>
    <w:rsid w:val="00372268"/>
    <w:rsid w:val="003726F6"/>
    <w:rsid w:val="00374711"/>
    <w:rsid w:val="003757EA"/>
    <w:rsid w:val="00376DF0"/>
    <w:rsid w:val="00380BB5"/>
    <w:rsid w:val="00380EEE"/>
    <w:rsid w:val="00381DD3"/>
    <w:rsid w:val="0038235A"/>
    <w:rsid w:val="00383B87"/>
    <w:rsid w:val="00384AA0"/>
    <w:rsid w:val="00386C41"/>
    <w:rsid w:val="00387ED3"/>
    <w:rsid w:val="003909DD"/>
    <w:rsid w:val="0039185B"/>
    <w:rsid w:val="00393C7B"/>
    <w:rsid w:val="00395DE5"/>
    <w:rsid w:val="00397225"/>
    <w:rsid w:val="0039736C"/>
    <w:rsid w:val="003A07AB"/>
    <w:rsid w:val="003A24F4"/>
    <w:rsid w:val="003A2752"/>
    <w:rsid w:val="003A38A0"/>
    <w:rsid w:val="003A38A4"/>
    <w:rsid w:val="003A3930"/>
    <w:rsid w:val="003A398C"/>
    <w:rsid w:val="003A3E67"/>
    <w:rsid w:val="003A4BE6"/>
    <w:rsid w:val="003A50D2"/>
    <w:rsid w:val="003A558E"/>
    <w:rsid w:val="003A667F"/>
    <w:rsid w:val="003A6782"/>
    <w:rsid w:val="003A67A1"/>
    <w:rsid w:val="003B1403"/>
    <w:rsid w:val="003B1771"/>
    <w:rsid w:val="003B2CF2"/>
    <w:rsid w:val="003B469A"/>
    <w:rsid w:val="003B52CD"/>
    <w:rsid w:val="003B67A5"/>
    <w:rsid w:val="003B7237"/>
    <w:rsid w:val="003B740F"/>
    <w:rsid w:val="003B7438"/>
    <w:rsid w:val="003C0A92"/>
    <w:rsid w:val="003C0ABA"/>
    <w:rsid w:val="003C1032"/>
    <w:rsid w:val="003C11BD"/>
    <w:rsid w:val="003C27C1"/>
    <w:rsid w:val="003C3BA0"/>
    <w:rsid w:val="003C4230"/>
    <w:rsid w:val="003C4690"/>
    <w:rsid w:val="003C4F1E"/>
    <w:rsid w:val="003C535D"/>
    <w:rsid w:val="003C637B"/>
    <w:rsid w:val="003C697D"/>
    <w:rsid w:val="003C76D1"/>
    <w:rsid w:val="003D0FE6"/>
    <w:rsid w:val="003D1A91"/>
    <w:rsid w:val="003D1C36"/>
    <w:rsid w:val="003D1D11"/>
    <w:rsid w:val="003D2C5F"/>
    <w:rsid w:val="003D3475"/>
    <w:rsid w:val="003D39DD"/>
    <w:rsid w:val="003D46EA"/>
    <w:rsid w:val="003D5945"/>
    <w:rsid w:val="003D618D"/>
    <w:rsid w:val="003E00C0"/>
    <w:rsid w:val="003E24E5"/>
    <w:rsid w:val="003E2BEE"/>
    <w:rsid w:val="003E4DA4"/>
    <w:rsid w:val="003E5F9F"/>
    <w:rsid w:val="003E6186"/>
    <w:rsid w:val="003E6568"/>
    <w:rsid w:val="003F0AE7"/>
    <w:rsid w:val="003F0FF5"/>
    <w:rsid w:val="003F1094"/>
    <w:rsid w:val="003F18C7"/>
    <w:rsid w:val="003F27A9"/>
    <w:rsid w:val="003F3A50"/>
    <w:rsid w:val="003F46BC"/>
    <w:rsid w:val="003F5116"/>
    <w:rsid w:val="003F550D"/>
    <w:rsid w:val="003F6459"/>
    <w:rsid w:val="003F6913"/>
    <w:rsid w:val="003F784B"/>
    <w:rsid w:val="003F78C7"/>
    <w:rsid w:val="003F7D6A"/>
    <w:rsid w:val="0040196E"/>
    <w:rsid w:val="00402574"/>
    <w:rsid w:val="00405BFD"/>
    <w:rsid w:val="00406893"/>
    <w:rsid w:val="00406941"/>
    <w:rsid w:val="004073AB"/>
    <w:rsid w:val="004078D3"/>
    <w:rsid w:val="00407963"/>
    <w:rsid w:val="00407F3C"/>
    <w:rsid w:val="0041166A"/>
    <w:rsid w:val="00412AF3"/>
    <w:rsid w:val="00412C32"/>
    <w:rsid w:val="00413186"/>
    <w:rsid w:val="004141F4"/>
    <w:rsid w:val="004147FE"/>
    <w:rsid w:val="00416C96"/>
    <w:rsid w:val="00416E7A"/>
    <w:rsid w:val="0041761E"/>
    <w:rsid w:val="00417CBF"/>
    <w:rsid w:val="0042189C"/>
    <w:rsid w:val="00421915"/>
    <w:rsid w:val="00421C1E"/>
    <w:rsid w:val="0042428F"/>
    <w:rsid w:val="00427E1B"/>
    <w:rsid w:val="0043113E"/>
    <w:rsid w:val="004319BB"/>
    <w:rsid w:val="00432DAD"/>
    <w:rsid w:val="00434A46"/>
    <w:rsid w:val="00434C87"/>
    <w:rsid w:val="00434CA8"/>
    <w:rsid w:val="004353A1"/>
    <w:rsid w:val="00435EF9"/>
    <w:rsid w:val="00436735"/>
    <w:rsid w:val="0043780A"/>
    <w:rsid w:val="00437A20"/>
    <w:rsid w:val="00440432"/>
    <w:rsid w:val="00441825"/>
    <w:rsid w:val="00441A9D"/>
    <w:rsid w:val="00442415"/>
    <w:rsid w:val="0044273D"/>
    <w:rsid w:val="0044276F"/>
    <w:rsid w:val="00442DE3"/>
    <w:rsid w:val="004439AA"/>
    <w:rsid w:val="00444548"/>
    <w:rsid w:val="00444994"/>
    <w:rsid w:val="00444F38"/>
    <w:rsid w:val="00446055"/>
    <w:rsid w:val="004464D7"/>
    <w:rsid w:val="0044659B"/>
    <w:rsid w:val="00446BB4"/>
    <w:rsid w:val="00447AB5"/>
    <w:rsid w:val="00450A2F"/>
    <w:rsid w:val="0045107C"/>
    <w:rsid w:val="00451745"/>
    <w:rsid w:val="00453B4C"/>
    <w:rsid w:val="00454A7B"/>
    <w:rsid w:val="00455E61"/>
    <w:rsid w:val="00456140"/>
    <w:rsid w:val="00456304"/>
    <w:rsid w:val="0045687E"/>
    <w:rsid w:val="0045696A"/>
    <w:rsid w:val="00457E43"/>
    <w:rsid w:val="00460708"/>
    <w:rsid w:val="0046109D"/>
    <w:rsid w:val="00461531"/>
    <w:rsid w:val="004654FD"/>
    <w:rsid w:val="0046708F"/>
    <w:rsid w:val="00467283"/>
    <w:rsid w:val="0046743F"/>
    <w:rsid w:val="004710CB"/>
    <w:rsid w:val="00471F23"/>
    <w:rsid w:val="0047229E"/>
    <w:rsid w:val="00473116"/>
    <w:rsid w:val="00473181"/>
    <w:rsid w:val="00473834"/>
    <w:rsid w:val="00473D84"/>
    <w:rsid w:val="0047402A"/>
    <w:rsid w:val="004744A8"/>
    <w:rsid w:val="00474F36"/>
    <w:rsid w:val="004754A1"/>
    <w:rsid w:val="00475B20"/>
    <w:rsid w:val="00475BF1"/>
    <w:rsid w:val="004760AE"/>
    <w:rsid w:val="00481388"/>
    <w:rsid w:val="00481AE1"/>
    <w:rsid w:val="00481CAD"/>
    <w:rsid w:val="00482012"/>
    <w:rsid w:val="00482EA0"/>
    <w:rsid w:val="004832B4"/>
    <w:rsid w:val="0048359B"/>
    <w:rsid w:val="0048463E"/>
    <w:rsid w:val="00484986"/>
    <w:rsid w:val="004849FB"/>
    <w:rsid w:val="00485343"/>
    <w:rsid w:val="00486A74"/>
    <w:rsid w:val="00486A7C"/>
    <w:rsid w:val="00487CBB"/>
    <w:rsid w:val="0049044C"/>
    <w:rsid w:val="00490AFF"/>
    <w:rsid w:val="00490B3C"/>
    <w:rsid w:val="00490B77"/>
    <w:rsid w:val="004925FE"/>
    <w:rsid w:val="00495C9D"/>
    <w:rsid w:val="0049638C"/>
    <w:rsid w:val="00496A42"/>
    <w:rsid w:val="00496C90"/>
    <w:rsid w:val="00496C9B"/>
    <w:rsid w:val="004A0684"/>
    <w:rsid w:val="004A1D2C"/>
    <w:rsid w:val="004A2892"/>
    <w:rsid w:val="004A2BAE"/>
    <w:rsid w:val="004A40F5"/>
    <w:rsid w:val="004A49FC"/>
    <w:rsid w:val="004A4E23"/>
    <w:rsid w:val="004A61D2"/>
    <w:rsid w:val="004A6EF4"/>
    <w:rsid w:val="004A7F4A"/>
    <w:rsid w:val="004B189D"/>
    <w:rsid w:val="004B2BE5"/>
    <w:rsid w:val="004B326B"/>
    <w:rsid w:val="004B34CD"/>
    <w:rsid w:val="004B45F0"/>
    <w:rsid w:val="004B4AC2"/>
    <w:rsid w:val="004B5684"/>
    <w:rsid w:val="004B5879"/>
    <w:rsid w:val="004B6572"/>
    <w:rsid w:val="004B7058"/>
    <w:rsid w:val="004B7ADC"/>
    <w:rsid w:val="004C00E4"/>
    <w:rsid w:val="004C0580"/>
    <w:rsid w:val="004C1678"/>
    <w:rsid w:val="004C227B"/>
    <w:rsid w:val="004C285B"/>
    <w:rsid w:val="004C2C38"/>
    <w:rsid w:val="004C2EFD"/>
    <w:rsid w:val="004C3E89"/>
    <w:rsid w:val="004C41A0"/>
    <w:rsid w:val="004C4249"/>
    <w:rsid w:val="004C4A85"/>
    <w:rsid w:val="004C4CDB"/>
    <w:rsid w:val="004C66E7"/>
    <w:rsid w:val="004C6E05"/>
    <w:rsid w:val="004C74A9"/>
    <w:rsid w:val="004D078E"/>
    <w:rsid w:val="004D1230"/>
    <w:rsid w:val="004D1ADC"/>
    <w:rsid w:val="004D1F21"/>
    <w:rsid w:val="004D2400"/>
    <w:rsid w:val="004D304E"/>
    <w:rsid w:val="004D3367"/>
    <w:rsid w:val="004D398F"/>
    <w:rsid w:val="004D4F0E"/>
    <w:rsid w:val="004D5694"/>
    <w:rsid w:val="004D5CDD"/>
    <w:rsid w:val="004D5F8F"/>
    <w:rsid w:val="004D7121"/>
    <w:rsid w:val="004D72A3"/>
    <w:rsid w:val="004D7BFC"/>
    <w:rsid w:val="004E04C1"/>
    <w:rsid w:val="004E1D66"/>
    <w:rsid w:val="004E2EE4"/>
    <w:rsid w:val="004E4179"/>
    <w:rsid w:val="004E4735"/>
    <w:rsid w:val="004E4D7F"/>
    <w:rsid w:val="004E695A"/>
    <w:rsid w:val="004E7E9A"/>
    <w:rsid w:val="004F01A0"/>
    <w:rsid w:val="004F40B0"/>
    <w:rsid w:val="004F44BE"/>
    <w:rsid w:val="004F46C2"/>
    <w:rsid w:val="004F4A2E"/>
    <w:rsid w:val="004F4E71"/>
    <w:rsid w:val="004F6162"/>
    <w:rsid w:val="004F6937"/>
    <w:rsid w:val="004F7F3A"/>
    <w:rsid w:val="00501184"/>
    <w:rsid w:val="00501350"/>
    <w:rsid w:val="00501846"/>
    <w:rsid w:val="0050291E"/>
    <w:rsid w:val="005034C9"/>
    <w:rsid w:val="00503C3E"/>
    <w:rsid w:val="0050503B"/>
    <w:rsid w:val="00505B4A"/>
    <w:rsid w:val="0050600B"/>
    <w:rsid w:val="00507674"/>
    <w:rsid w:val="0051054B"/>
    <w:rsid w:val="00511B9C"/>
    <w:rsid w:val="00511FBB"/>
    <w:rsid w:val="00512438"/>
    <w:rsid w:val="0051297C"/>
    <w:rsid w:val="00512BAA"/>
    <w:rsid w:val="00512EF4"/>
    <w:rsid w:val="00514125"/>
    <w:rsid w:val="00514D18"/>
    <w:rsid w:val="005153D5"/>
    <w:rsid w:val="00515D80"/>
    <w:rsid w:val="0051655C"/>
    <w:rsid w:val="00517AFA"/>
    <w:rsid w:val="00517EED"/>
    <w:rsid w:val="00520962"/>
    <w:rsid w:val="00520B84"/>
    <w:rsid w:val="00521EE7"/>
    <w:rsid w:val="0052232E"/>
    <w:rsid w:val="005227F2"/>
    <w:rsid w:val="00522A28"/>
    <w:rsid w:val="005234FA"/>
    <w:rsid w:val="0052387B"/>
    <w:rsid w:val="00523B3B"/>
    <w:rsid w:val="00524018"/>
    <w:rsid w:val="00525A5C"/>
    <w:rsid w:val="00525B43"/>
    <w:rsid w:val="00526E53"/>
    <w:rsid w:val="0052732B"/>
    <w:rsid w:val="00527C13"/>
    <w:rsid w:val="00530759"/>
    <w:rsid w:val="0053090E"/>
    <w:rsid w:val="00530D6B"/>
    <w:rsid w:val="00533DDC"/>
    <w:rsid w:val="00535E20"/>
    <w:rsid w:val="005365E1"/>
    <w:rsid w:val="00537653"/>
    <w:rsid w:val="00540001"/>
    <w:rsid w:val="00540522"/>
    <w:rsid w:val="00541518"/>
    <w:rsid w:val="00542060"/>
    <w:rsid w:val="00542A3A"/>
    <w:rsid w:val="005430AD"/>
    <w:rsid w:val="00544852"/>
    <w:rsid w:val="00546E97"/>
    <w:rsid w:val="00546FF3"/>
    <w:rsid w:val="00547213"/>
    <w:rsid w:val="00547809"/>
    <w:rsid w:val="00547AE0"/>
    <w:rsid w:val="00547B4A"/>
    <w:rsid w:val="00547F30"/>
    <w:rsid w:val="00550280"/>
    <w:rsid w:val="00551344"/>
    <w:rsid w:val="00551415"/>
    <w:rsid w:val="0055176F"/>
    <w:rsid w:val="0055251E"/>
    <w:rsid w:val="005539CC"/>
    <w:rsid w:val="00553C17"/>
    <w:rsid w:val="005540F2"/>
    <w:rsid w:val="00556BF1"/>
    <w:rsid w:val="00560040"/>
    <w:rsid w:val="00560312"/>
    <w:rsid w:val="005606E0"/>
    <w:rsid w:val="005611C4"/>
    <w:rsid w:val="005618FA"/>
    <w:rsid w:val="005624D9"/>
    <w:rsid w:val="00563386"/>
    <w:rsid w:val="005648E4"/>
    <w:rsid w:val="00564A20"/>
    <w:rsid w:val="00564B93"/>
    <w:rsid w:val="0056507C"/>
    <w:rsid w:val="0057119C"/>
    <w:rsid w:val="00572ED1"/>
    <w:rsid w:val="005737CA"/>
    <w:rsid w:val="005748B8"/>
    <w:rsid w:val="00574951"/>
    <w:rsid w:val="00576D2F"/>
    <w:rsid w:val="00576F9B"/>
    <w:rsid w:val="0057739D"/>
    <w:rsid w:val="00580200"/>
    <w:rsid w:val="00580E2B"/>
    <w:rsid w:val="00581B1D"/>
    <w:rsid w:val="00582787"/>
    <w:rsid w:val="00582A71"/>
    <w:rsid w:val="00584419"/>
    <w:rsid w:val="00584E58"/>
    <w:rsid w:val="005856C3"/>
    <w:rsid w:val="005859E4"/>
    <w:rsid w:val="00585A6F"/>
    <w:rsid w:val="00591778"/>
    <w:rsid w:val="00591E42"/>
    <w:rsid w:val="005920A8"/>
    <w:rsid w:val="00592477"/>
    <w:rsid w:val="00592495"/>
    <w:rsid w:val="00593E9E"/>
    <w:rsid w:val="00594607"/>
    <w:rsid w:val="00594771"/>
    <w:rsid w:val="00595C07"/>
    <w:rsid w:val="00595C7A"/>
    <w:rsid w:val="005968CD"/>
    <w:rsid w:val="00596A90"/>
    <w:rsid w:val="00596D3C"/>
    <w:rsid w:val="0059739E"/>
    <w:rsid w:val="005A1109"/>
    <w:rsid w:val="005A1439"/>
    <w:rsid w:val="005A158B"/>
    <w:rsid w:val="005A3741"/>
    <w:rsid w:val="005A435B"/>
    <w:rsid w:val="005A462A"/>
    <w:rsid w:val="005A570E"/>
    <w:rsid w:val="005A5E0D"/>
    <w:rsid w:val="005A6045"/>
    <w:rsid w:val="005A7C9A"/>
    <w:rsid w:val="005B0A0C"/>
    <w:rsid w:val="005B1777"/>
    <w:rsid w:val="005B1AF2"/>
    <w:rsid w:val="005B25B3"/>
    <w:rsid w:val="005B2C19"/>
    <w:rsid w:val="005B2FE3"/>
    <w:rsid w:val="005B32DF"/>
    <w:rsid w:val="005B409D"/>
    <w:rsid w:val="005B4161"/>
    <w:rsid w:val="005B5190"/>
    <w:rsid w:val="005B63E6"/>
    <w:rsid w:val="005B6620"/>
    <w:rsid w:val="005B6A72"/>
    <w:rsid w:val="005B7160"/>
    <w:rsid w:val="005B7981"/>
    <w:rsid w:val="005C1739"/>
    <w:rsid w:val="005C19D8"/>
    <w:rsid w:val="005C1EE7"/>
    <w:rsid w:val="005C1F74"/>
    <w:rsid w:val="005C34CF"/>
    <w:rsid w:val="005C4113"/>
    <w:rsid w:val="005C596A"/>
    <w:rsid w:val="005C5D89"/>
    <w:rsid w:val="005C69F5"/>
    <w:rsid w:val="005D0C77"/>
    <w:rsid w:val="005D25E6"/>
    <w:rsid w:val="005D28B7"/>
    <w:rsid w:val="005D2F28"/>
    <w:rsid w:val="005D4214"/>
    <w:rsid w:val="005D4318"/>
    <w:rsid w:val="005D6564"/>
    <w:rsid w:val="005D68F2"/>
    <w:rsid w:val="005D6B8F"/>
    <w:rsid w:val="005D75A3"/>
    <w:rsid w:val="005D7708"/>
    <w:rsid w:val="005D7E98"/>
    <w:rsid w:val="005E13DA"/>
    <w:rsid w:val="005E1BC2"/>
    <w:rsid w:val="005E1C25"/>
    <w:rsid w:val="005E1D69"/>
    <w:rsid w:val="005E2CBB"/>
    <w:rsid w:val="005E358F"/>
    <w:rsid w:val="005E3866"/>
    <w:rsid w:val="005E4022"/>
    <w:rsid w:val="005E44A3"/>
    <w:rsid w:val="005E4823"/>
    <w:rsid w:val="005E6103"/>
    <w:rsid w:val="005E7322"/>
    <w:rsid w:val="005E75C7"/>
    <w:rsid w:val="005F1A70"/>
    <w:rsid w:val="005F2DB1"/>
    <w:rsid w:val="005F2E05"/>
    <w:rsid w:val="005F6CC7"/>
    <w:rsid w:val="005F6DE5"/>
    <w:rsid w:val="0060100A"/>
    <w:rsid w:val="0060150A"/>
    <w:rsid w:val="00601B33"/>
    <w:rsid w:val="00601C6D"/>
    <w:rsid w:val="0060265E"/>
    <w:rsid w:val="006027D6"/>
    <w:rsid w:val="00602BD9"/>
    <w:rsid w:val="006033DE"/>
    <w:rsid w:val="006039BB"/>
    <w:rsid w:val="00603C7F"/>
    <w:rsid w:val="006047C3"/>
    <w:rsid w:val="00604A47"/>
    <w:rsid w:val="006062A9"/>
    <w:rsid w:val="00607384"/>
    <w:rsid w:val="00607901"/>
    <w:rsid w:val="00607EDF"/>
    <w:rsid w:val="00610DC4"/>
    <w:rsid w:val="006111D3"/>
    <w:rsid w:val="0061141B"/>
    <w:rsid w:val="00612865"/>
    <w:rsid w:val="006166CC"/>
    <w:rsid w:val="00617381"/>
    <w:rsid w:val="00617DC1"/>
    <w:rsid w:val="00620C50"/>
    <w:rsid w:val="00620F2D"/>
    <w:rsid w:val="0062214C"/>
    <w:rsid w:val="00622389"/>
    <w:rsid w:val="00623693"/>
    <w:rsid w:val="00624032"/>
    <w:rsid w:val="006241EC"/>
    <w:rsid w:val="00624466"/>
    <w:rsid w:val="006247E3"/>
    <w:rsid w:val="0062566D"/>
    <w:rsid w:val="00625700"/>
    <w:rsid w:val="00625C2B"/>
    <w:rsid w:val="00625CA2"/>
    <w:rsid w:val="006261C9"/>
    <w:rsid w:val="00631582"/>
    <w:rsid w:val="00631A58"/>
    <w:rsid w:val="006323D1"/>
    <w:rsid w:val="006333B7"/>
    <w:rsid w:val="00634237"/>
    <w:rsid w:val="00634B38"/>
    <w:rsid w:val="00634DAB"/>
    <w:rsid w:val="00634EF4"/>
    <w:rsid w:val="006350EF"/>
    <w:rsid w:val="006359AD"/>
    <w:rsid w:val="00636EE4"/>
    <w:rsid w:val="00641BDF"/>
    <w:rsid w:val="00642EFF"/>
    <w:rsid w:val="00643A87"/>
    <w:rsid w:val="00643BAE"/>
    <w:rsid w:val="00644A79"/>
    <w:rsid w:val="0064568B"/>
    <w:rsid w:val="00646047"/>
    <w:rsid w:val="0064644B"/>
    <w:rsid w:val="00647102"/>
    <w:rsid w:val="00647184"/>
    <w:rsid w:val="006471D2"/>
    <w:rsid w:val="00647F25"/>
    <w:rsid w:val="0065068C"/>
    <w:rsid w:val="006519F9"/>
    <w:rsid w:val="00651ADA"/>
    <w:rsid w:val="00652073"/>
    <w:rsid w:val="00652C9F"/>
    <w:rsid w:val="0065353D"/>
    <w:rsid w:val="00653F99"/>
    <w:rsid w:val="006563CE"/>
    <w:rsid w:val="00660787"/>
    <w:rsid w:val="00660903"/>
    <w:rsid w:val="00660ADA"/>
    <w:rsid w:val="0066220D"/>
    <w:rsid w:val="00662D61"/>
    <w:rsid w:val="0066407B"/>
    <w:rsid w:val="00664FF1"/>
    <w:rsid w:val="00665752"/>
    <w:rsid w:val="006665C4"/>
    <w:rsid w:val="00666886"/>
    <w:rsid w:val="00667444"/>
    <w:rsid w:val="00670215"/>
    <w:rsid w:val="006723CE"/>
    <w:rsid w:val="00673231"/>
    <w:rsid w:val="006755C2"/>
    <w:rsid w:val="00676D63"/>
    <w:rsid w:val="00677A34"/>
    <w:rsid w:val="006802BA"/>
    <w:rsid w:val="00680ADA"/>
    <w:rsid w:val="006816A1"/>
    <w:rsid w:val="00681C3C"/>
    <w:rsid w:val="0068312B"/>
    <w:rsid w:val="0068445A"/>
    <w:rsid w:val="006844F6"/>
    <w:rsid w:val="00685C8A"/>
    <w:rsid w:val="006861D0"/>
    <w:rsid w:val="00686403"/>
    <w:rsid w:val="00686560"/>
    <w:rsid w:val="00686D3E"/>
    <w:rsid w:val="00686FFA"/>
    <w:rsid w:val="006871C0"/>
    <w:rsid w:val="006878E5"/>
    <w:rsid w:val="00687DCC"/>
    <w:rsid w:val="00687EDB"/>
    <w:rsid w:val="00690F3C"/>
    <w:rsid w:val="006927CB"/>
    <w:rsid w:val="0069525E"/>
    <w:rsid w:val="00695996"/>
    <w:rsid w:val="00695B17"/>
    <w:rsid w:val="00696A72"/>
    <w:rsid w:val="00697DCC"/>
    <w:rsid w:val="006A0551"/>
    <w:rsid w:val="006A06D7"/>
    <w:rsid w:val="006A143F"/>
    <w:rsid w:val="006A1E5D"/>
    <w:rsid w:val="006A1F61"/>
    <w:rsid w:val="006A2346"/>
    <w:rsid w:val="006A27A4"/>
    <w:rsid w:val="006A2A2A"/>
    <w:rsid w:val="006A5337"/>
    <w:rsid w:val="006A59C2"/>
    <w:rsid w:val="006A652F"/>
    <w:rsid w:val="006A6D70"/>
    <w:rsid w:val="006A734A"/>
    <w:rsid w:val="006A7DAF"/>
    <w:rsid w:val="006B010D"/>
    <w:rsid w:val="006B15A4"/>
    <w:rsid w:val="006B17E8"/>
    <w:rsid w:val="006B198E"/>
    <w:rsid w:val="006B20F2"/>
    <w:rsid w:val="006B452A"/>
    <w:rsid w:val="006B70B8"/>
    <w:rsid w:val="006B7A56"/>
    <w:rsid w:val="006C0C5B"/>
    <w:rsid w:val="006C0D2D"/>
    <w:rsid w:val="006C195F"/>
    <w:rsid w:val="006C1A33"/>
    <w:rsid w:val="006C25B7"/>
    <w:rsid w:val="006C295A"/>
    <w:rsid w:val="006C2BA3"/>
    <w:rsid w:val="006C38C8"/>
    <w:rsid w:val="006C3FBC"/>
    <w:rsid w:val="006C447A"/>
    <w:rsid w:val="006C4D41"/>
    <w:rsid w:val="006C4E77"/>
    <w:rsid w:val="006C6FB5"/>
    <w:rsid w:val="006C78F5"/>
    <w:rsid w:val="006C7AEB"/>
    <w:rsid w:val="006D0E57"/>
    <w:rsid w:val="006D1E7B"/>
    <w:rsid w:val="006D1F59"/>
    <w:rsid w:val="006D2282"/>
    <w:rsid w:val="006D242E"/>
    <w:rsid w:val="006D663A"/>
    <w:rsid w:val="006D716A"/>
    <w:rsid w:val="006D75CF"/>
    <w:rsid w:val="006E04D5"/>
    <w:rsid w:val="006E0A98"/>
    <w:rsid w:val="006E1D7B"/>
    <w:rsid w:val="006E2043"/>
    <w:rsid w:val="006E2C73"/>
    <w:rsid w:val="006E2D2B"/>
    <w:rsid w:val="006E3104"/>
    <w:rsid w:val="006E339D"/>
    <w:rsid w:val="006E3784"/>
    <w:rsid w:val="006E3D2A"/>
    <w:rsid w:val="006E4040"/>
    <w:rsid w:val="006E4915"/>
    <w:rsid w:val="006E6C3D"/>
    <w:rsid w:val="006E71D3"/>
    <w:rsid w:val="006F03C3"/>
    <w:rsid w:val="006F1968"/>
    <w:rsid w:val="006F1C50"/>
    <w:rsid w:val="006F32C6"/>
    <w:rsid w:val="006F3AB4"/>
    <w:rsid w:val="006F3F31"/>
    <w:rsid w:val="006F4EDB"/>
    <w:rsid w:val="006F5442"/>
    <w:rsid w:val="00700557"/>
    <w:rsid w:val="00701E25"/>
    <w:rsid w:val="00702549"/>
    <w:rsid w:val="00702AA4"/>
    <w:rsid w:val="00702B75"/>
    <w:rsid w:val="00703E3E"/>
    <w:rsid w:val="007041F8"/>
    <w:rsid w:val="00704A0C"/>
    <w:rsid w:val="00705281"/>
    <w:rsid w:val="00705483"/>
    <w:rsid w:val="0070559C"/>
    <w:rsid w:val="00705996"/>
    <w:rsid w:val="00705FC4"/>
    <w:rsid w:val="007060CC"/>
    <w:rsid w:val="00706367"/>
    <w:rsid w:val="00706DD5"/>
    <w:rsid w:val="00707747"/>
    <w:rsid w:val="00710475"/>
    <w:rsid w:val="00710951"/>
    <w:rsid w:val="00711EAE"/>
    <w:rsid w:val="00712121"/>
    <w:rsid w:val="00713022"/>
    <w:rsid w:val="00715574"/>
    <w:rsid w:val="00715715"/>
    <w:rsid w:val="00715C46"/>
    <w:rsid w:val="0071662F"/>
    <w:rsid w:val="0071668D"/>
    <w:rsid w:val="0071716B"/>
    <w:rsid w:val="00717186"/>
    <w:rsid w:val="00721E0D"/>
    <w:rsid w:val="00722D4C"/>
    <w:rsid w:val="0072326F"/>
    <w:rsid w:val="007233B0"/>
    <w:rsid w:val="007235B3"/>
    <w:rsid w:val="00723FD4"/>
    <w:rsid w:val="00724610"/>
    <w:rsid w:val="007248C7"/>
    <w:rsid w:val="007256DE"/>
    <w:rsid w:val="00727C27"/>
    <w:rsid w:val="007301F2"/>
    <w:rsid w:val="0073058E"/>
    <w:rsid w:val="0073072E"/>
    <w:rsid w:val="007323B6"/>
    <w:rsid w:val="0073327E"/>
    <w:rsid w:val="00734115"/>
    <w:rsid w:val="00734EF3"/>
    <w:rsid w:val="00735512"/>
    <w:rsid w:val="007379FA"/>
    <w:rsid w:val="007410E7"/>
    <w:rsid w:val="007417F7"/>
    <w:rsid w:val="00742319"/>
    <w:rsid w:val="00743215"/>
    <w:rsid w:val="0074350D"/>
    <w:rsid w:val="0074362B"/>
    <w:rsid w:val="00747FBB"/>
    <w:rsid w:val="00750F65"/>
    <w:rsid w:val="0075103E"/>
    <w:rsid w:val="007512C8"/>
    <w:rsid w:val="00752F3C"/>
    <w:rsid w:val="007530DB"/>
    <w:rsid w:val="00753819"/>
    <w:rsid w:val="00753898"/>
    <w:rsid w:val="00753D3C"/>
    <w:rsid w:val="007577D5"/>
    <w:rsid w:val="007619C2"/>
    <w:rsid w:val="00761DE9"/>
    <w:rsid w:val="00761ED7"/>
    <w:rsid w:val="007632BF"/>
    <w:rsid w:val="00764B0E"/>
    <w:rsid w:val="00765388"/>
    <w:rsid w:val="007654AF"/>
    <w:rsid w:val="0076793C"/>
    <w:rsid w:val="00770600"/>
    <w:rsid w:val="007708E0"/>
    <w:rsid w:val="00770FA2"/>
    <w:rsid w:val="007711E4"/>
    <w:rsid w:val="00772586"/>
    <w:rsid w:val="007725AE"/>
    <w:rsid w:val="00772AD3"/>
    <w:rsid w:val="0077474F"/>
    <w:rsid w:val="00775D86"/>
    <w:rsid w:val="00777B0E"/>
    <w:rsid w:val="007808AB"/>
    <w:rsid w:val="00780A9A"/>
    <w:rsid w:val="00780CBE"/>
    <w:rsid w:val="0078135C"/>
    <w:rsid w:val="007828DD"/>
    <w:rsid w:val="0078310E"/>
    <w:rsid w:val="0078355B"/>
    <w:rsid w:val="00783BE6"/>
    <w:rsid w:val="00785ECC"/>
    <w:rsid w:val="00786039"/>
    <w:rsid w:val="007861D4"/>
    <w:rsid w:val="00786978"/>
    <w:rsid w:val="00786E77"/>
    <w:rsid w:val="00787EB1"/>
    <w:rsid w:val="007905D7"/>
    <w:rsid w:val="007909F2"/>
    <w:rsid w:val="00790AD2"/>
    <w:rsid w:val="00790CC9"/>
    <w:rsid w:val="007930F9"/>
    <w:rsid w:val="00793EA4"/>
    <w:rsid w:val="00796123"/>
    <w:rsid w:val="007963A5"/>
    <w:rsid w:val="007969D5"/>
    <w:rsid w:val="00797B97"/>
    <w:rsid w:val="00797C48"/>
    <w:rsid w:val="007A05CE"/>
    <w:rsid w:val="007A0C70"/>
    <w:rsid w:val="007A16D0"/>
    <w:rsid w:val="007A25A0"/>
    <w:rsid w:val="007A2C40"/>
    <w:rsid w:val="007A31F7"/>
    <w:rsid w:val="007A589F"/>
    <w:rsid w:val="007A5950"/>
    <w:rsid w:val="007A6048"/>
    <w:rsid w:val="007A6283"/>
    <w:rsid w:val="007A6608"/>
    <w:rsid w:val="007B00C5"/>
    <w:rsid w:val="007B00E1"/>
    <w:rsid w:val="007B10C1"/>
    <w:rsid w:val="007B1A0F"/>
    <w:rsid w:val="007B2BD9"/>
    <w:rsid w:val="007B360B"/>
    <w:rsid w:val="007B36F7"/>
    <w:rsid w:val="007B3BCC"/>
    <w:rsid w:val="007B3F5B"/>
    <w:rsid w:val="007B4378"/>
    <w:rsid w:val="007B46A0"/>
    <w:rsid w:val="007B5725"/>
    <w:rsid w:val="007B6E5D"/>
    <w:rsid w:val="007C0A98"/>
    <w:rsid w:val="007C0D90"/>
    <w:rsid w:val="007C0F7C"/>
    <w:rsid w:val="007C1A3A"/>
    <w:rsid w:val="007C1D02"/>
    <w:rsid w:val="007C264A"/>
    <w:rsid w:val="007C2CE8"/>
    <w:rsid w:val="007C3ED1"/>
    <w:rsid w:val="007C46CC"/>
    <w:rsid w:val="007C4F9D"/>
    <w:rsid w:val="007C5241"/>
    <w:rsid w:val="007C5401"/>
    <w:rsid w:val="007C6812"/>
    <w:rsid w:val="007C78D4"/>
    <w:rsid w:val="007D0281"/>
    <w:rsid w:val="007D03CE"/>
    <w:rsid w:val="007D0BC8"/>
    <w:rsid w:val="007D10C5"/>
    <w:rsid w:val="007D1BF6"/>
    <w:rsid w:val="007D22C5"/>
    <w:rsid w:val="007D2D6A"/>
    <w:rsid w:val="007D3A02"/>
    <w:rsid w:val="007D3D92"/>
    <w:rsid w:val="007D4038"/>
    <w:rsid w:val="007D417A"/>
    <w:rsid w:val="007D67A7"/>
    <w:rsid w:val="007D6841"/>
    <w:rsid w:val="007D6EA3"/>
    <w:rsid w:val="007D75BC"/>
    <w:rsid w:val="007D7F5C"/>
    <w:rsid w:val="007E02BB"/>
    <w:rsid w:val="007E067D"/>
    <w:rsid w:val="007E09BB"/>
    <w:rsid w:val="007E2606"/>
    <w:rsid w:val="007E31EF"/>
    <w:rsid w:val="007E4673"/>
    <w:rsid w:val="007E4C42"/>
    <w:rsid w:val="007E613C"/>
    <w:rsid w:val="007E647A"/>
    <w:rsid w:val="007E7EAB"/>
    <w:rsid w:val="007F190E"/>
    <w:rsid w:val="007F1A40"/>
    <w:rsid w:val="007F3904"/>
    <w:rsid w:val="007F48E5"/>
    <w:rsid w:val="00800C29"/>
    <w:rsid w:val="0080210F"/>
    <w:rsid w:val="008034B3"/>
    <w:rsid w:val="00803E5E"/>
    <w:rsid w:val="00803F02"/>
    <w:rsid w:val="008047ED"/>
    <w:rsid w:val="00804837"/>
    <w:rsid w:val="00804A19"/>
    <w:rsid w:val="00805005"/>
    <w:rsid w:val="008050D6"/>
    <w:rsid w:val="0080554F"/>
    <w:rsid w:val="008061A9"/>
    <w:rsid w:val="00806665"/>
    <w:rsid w:val="00807498"/>
    <w:rsid w:val="00811D39"/>
    <w:rsid w:val="00812A36"/>
    <w:rsid w:val="00812EF0"/>
    <w:rsid w:val="00813599"/>
    <w:rsid w:val="00813977"/>
    <w:rsid w:val="00813ED9"/>
    <w:rsid w:val="00814758"/>
    <w:rsid w:val="008156D4"/>
    <w:rsid w:val="00815706"/>
    <w:rsid w:val="00815CED"/>
    <w:rsid w:val="0081606B"/>
    <w:rsid w:val="00816C12"/>
    <w:rsid w:val="00816C2E"/>
    <w:rsid w:val="00816E90"/>
    <w:rsid w:val="00817954"/>
    <w:rsid w:val="0081795C"/>
    <w:rsid w:val="00817D7A"/>
    <w:rsid w:val="00817FEB"/>
    <w:rsid w:val="00820857"/>
    <w:rsid w:val="00821217"/>
    <w:rsid w:val="008215B0"/>
    <w:rsid w:val="00821681"/>
    <w:rsid w:val="0082176C"/>
    <w:rsid w:val="0082229A"/>
    <w:rsid w:val="008228A3"/>
    <w:rsid w:val="00823656"/>
    <w:rsid w:val="008238E0"/>
    <w:rsid w:val="00824274"/>
    <w:rsid w:val="00824518"/>
    <w:rsid w:val="0082514B"/>
    <w:rsid w:val="0082542C"/>
    <w:rsid w:val="00825A5F"/>
    <w:rsid w:val="00826A65"/>
    <w:rsid w:val="0083042E"/>
    <w:rsid w:val="008304A7"/>
    <w:rsid w:val="008307E4"/>
    <w:rsid w:val="00833C36"/>
    <w:rsid w:val="00834898"/>
    <w:rsid w:val="00835847"/>
    <w:rsid w:val="008368DC"/>
    <w:rsid w:val="0083697F"/>
    <w:rsid w:val="00836F3C"/>
    <w:rsid w:val="00837EA1"/>
    <w:rsid w:val="00840823"/>
    <w:rsid w:val="00841317"/>
    <w:rsid w:val="00841BA3"/>
    <w:rsid w:val="00841C18"/>
    <w:rsid w:val="00843412"/>
    <w:rsid w:val="00843AEC"/>
    <w:rsid w:val="00843BC4"/>
    <w:rsid w:val="00843F19"/>
    <w:rsid w:val="00847980"/>
    <w:rsid w:val="00851092"/>
    <w:rsid w:val="008519FA"/>
    <w:rsid w:val="00852AB0"/>
    <w:rsid w:val="00852DDA"/>
    <w:rsid w:val="00853849"/>
    <w:rsid w:val="00854191"/>
    <w:rsid w:val="00855428"/>
    <w:rsid w:val="008555A3"/>
    <w:rsid w:val="00855987"/>
    <w:rsid w:val="00856042"/>
    <w:rsid w:val="008564F2"/>
    <w:rsid w:val="00857FD6"/>
    <w:rsid w:val="00860A54"/>
    <w:rsid w:val="008616D1"/>
    <w:rsid w:val="0086197C"/>
    <w:rsid w:val="00862027"/>
    <w:rsid w:val="008627DC"/>
    <w:rsid w:val="0086311D"/>
    <w:rsid w:val="00863799"/>
    <w:rsid w:val="00863D1F"/>
    <w:rsid w:val="00864258"/>
    <w:rsid w:val="0086444A"/>
    <w:rsid w:val="008654A8"/>
    <w:rsid w:val="00866AB2"/>
    <w:rsid w:val="00867392"/>
    <w:rsid w:val="00867802"/>
    <w:rsid w:val="008710E9"/>
    <w:rsid w:val="008715DA"/>
    <w:rsid w:val="00871D1C"/>
    <w:rsid w:val="0087213B"/>
    <w:rsid w:val="00872AE5"/>
    <w:rsid w:val="00872C1E"/>
    <w:rsid w:val="008732E3"/>
    <w:rsid w:val="008736A1"/>
    <w:rsid w:val="00873FB8"/>
    <w:rsid w:val="008808E4"/>
    <w:rsid w:val="00881BAB"/>
    <w:rsid w:val="00882D00"/>
    <w:rsid w:val="008839EA"/>
    <w:rsid w:val="008844B2"/>
    <w:rsid w:val="00884513"/>
    <w:rsid w:val="00884762"/>
    <w:rsid w:val="00885130"/>
    <w:rsid w:val="00885183"/>
    <w:rsid w:val="00890F1D"/>
    <w:rsid w:val="00891312"/>
    <w:rsid w:val="00891461"/>
    <w:rsid w:val="00891A25"/>
    <w:rsid w:val="008937A8"/>
    <w:rsid w:val="00894212"/>
    <w:rsid w:val="00894ED2"/>
    <w:rsid w:val="00896C08"/>
    <w:rsid w:val="0089755F"/>
    <w:rsid w:val="008976F6"/>
    <w:rsid w:val="0089776E"/>
    <w:rsid w:val="008A09F8"/>
    <w:rsid w:val="008A1D44"/>
    <w:rsid w:val="008A1F10"/>
    <w:rsid w:val="008A2B1B"/>
    <w:rsid w:val="008A3510"/>
    <w:rsid w:val="008A3F63"/>
    <w:rsid w:val="008A495F"/>
    <w:rsid w:val="008A49E9"/>
    <w:rsid w:val="008A5DFA"/>
    <w:rsid w:val="008A65EB"/>
    <w:rsid w:val="008B03CA"/>
    <w:rsid w:val="008B07CF"/>
    <w:rsid w:val="008B0EE6"/>
    <w:rsid w:val="008B14F0"/>
    <w:rsid w:val="008B1DF1"/>
    <w:rsid w:val="008B2FF7"/>
    <w:rsid w:val="008B3D7E"/>
    <w:rsid w:val="008B4424"/>
    <w:rsid w:val="008B5EED"/>
    <w:rsid w:val="008B5FF6"/>
    <w:rsid w:val="008B63CA"/>
    <w:rsid w:val="008C030F"/>
    <w:rsid w:val="008C0810"/>
    <w:rsid w:val="008C104A"/>
    <w:rsid w:val="008C1C00"/>
    <w:rsid w:val="008C2C8B"/>
    <w:rsid w:val="008C2F8F"/>
    <w:rsid w:val="008C4FBA"/>
    <w:rsid w:val="008C5BD7"/>
    <w:rsid w:val="008C5FB9"/>
    <w:rsid w:val="008C6B5F"/>
    <w:rsid w:val="008C6D66"/>
    <w:rsid w:val="008C7311"/>
    <w:rsid w:val="008C787C"/>
    <w:rsid w:val="008C7CB5"/>
    <w:rsid w:val="008C7DAA"/>
    <w:rsid w:val="008C7E87"/>
    <w:rsid w:val="008D015C"/>
    <w:rsid w:val="008D0C54"/>
    <w:rsid w:val="008D1300"/>
    <w:rsid w:val="008D2EF8"/>
    <w:rsid w:val="008D414B"/>
    <w:rsid w:val="008D4208"/>
    <w:rsid w:val="008D55E2"/>
    <w:rsid w:val="008D6BE7"/>
    <w:rsid w:val="008E111F"/>
    <w:rsid w:val="008E1DE5"/>
    <w:rsid w:val="008E227C"/>
    <w:rsid w:val="008E24CE"/>
    <w:rsid w:val="008E2685"/>
    <w:rsid w:val="008E3172"/>
    <w:rsid w:val="008E3837"/>
    <w:rsid w:val="008E4EE4"/>
    <w:rsid w:val="008E5A0C"/>
    <w:rsid w:val="008E68E6"/>
    <w:rsid w:val="008E69C6"/>
    <w:rsid w:val="008E6FA7"/>
    <w:rsid w:val="008E7998"/>
    <w:rsid w:val="008F1122"/>
    <w:rsid w:val="008F1FD2"/>
    <w:rsid w:val="008F368A"/>
    <w:rsid w:val="008F38B8"/>
    <w:rsid w:val="008F4432"/>
    <w:rsid w:val="008F4519"/>
    <w:rsid w:val="008F5D98"/>
    <w:rsid w:val="008F6519"/>
    <w:rsid w:val="008F65B1"/>
    <w:rsid w:val="008F7AF0"/>
    <w:rsid w:val="00900AB1"/>
    <w:rsid w:val="00902325"/>
    <w:rsid w:val="00902E8D"/>
    <w:rsid w:val="00903CC8"/>
    <w:rsid w:val="00904420"/>
    <w:rsid w:val="00905817"/>
    <w:rsid w:val="00905CA1"/>
    <w:rsid w:val="00906219"/>
    <w:rsid w:val="00906903"/>
    <w:rsid w:val="00906EC3"/>
    <w:rsid w:val="0090758A"/>
    <w:rsid w:val="00910A29"/>
    <w:rsid w:val="00910DDC"/>
    <w:rsid w:val="0091136D"/>
    <w:rsid w:val="009114B5"/>
    <w:rsid w:val="00912C02"/>
    <w:rsid w:val="00913244"/>
    <w:rsid w:val="00913A69"/>
    <w:rsid w:val="00913FE1"/>
    <w:rsid w:val="00914160"/>
    <w:rsid w:val="00915910"/>
    <w:rsid w:val="00915A7F"/>
    <w:rsid w:val="00916EB6"/>
    <w:rsid w:val="00917A47"/>
    <w:rsid w:val="0092005C"/>
    <w:rsid w:val="0092095F"/>
    <w:rsid w:val="00921598"/>
    <w:rsid w:val="00923EFF"/>
    <w:rsid w:val="00924AF6"/>
    <w:rsid w:val="00925734"/>
    <w:rsid w:val="00925CBA"/>
    <w:rsid w:val="00927A5E"/>
    <w:rsid w:val="009300A9"/>
    <w:rsid w:val="00930D3C"/>
    <w:rsid w:val="00931DA1"/>
    <w:rsid w:val="00932191"/>
    <w:rsid w:val="00932FB6"/>
    <w:rsid w:val="009336E3"/>
    <w:rsid w:val="00934161"/>
    <w:rsid w:val="009343D0"/>
    <w:rsid w:val="009346FB"/>
    <w:rsid w:val="00934748"/>
    <w:rsid w:val="00934FB7"/>
    <w:rsid w:val="0093643A"/>
    <w:rsid w:val="00936540"/>
    <w:rsid w:val="00936D3E"/>
    <w:rsid w:val="009406EB"/>
    <w:rsid w:val="009417AA"/>
    <w:rsid w:val="00941819"/>
    <w:rsid w:val="00941F37"/>
    <w:rsid w:val="00942A49"/>
    <w:rsid w:val="00944451"/>
    <w:rsid w:val="0094602A"/>
    <w:rsid w:val="00947109"/>
    <w:rsid w:val="00950274"/>
    <w:rsid w:val="009502B6"/>
    <w:rsid w:val="0095099B"/>
    <w:rsid w:val="009509CB"/>
    <w:rsid w:val="00950B3D"/>
    <w:rsid w:val="00951FC2"/>
    <w:rsid w:val="00953332"/>
    <w:rsid w:val="00953712"/>
    <w:rsid w:val="00954717"/>
    <w:rsid w:val="0095512C"/>
    <w:rsid w:val="009562EA"/>
    <w:rsid w:val="00956F1E"/>
    <w:rsid w:val="00957CBC"/>
    <w:rsid w:val="00957CD9"/>
    <w:rsid w:val="00960EAC"/>
    <w:rsid w:val="00961A53"/>
    <w:rsid w:val="00961D0B"/>
    <w:rsid w:val="00961F32"/>
    <w:rsid w:val="00964BB0"/>
    <w:rsid w:val="009663D5"/>
    <w:rsid w:val="009665F8"/>
    <w:rsid w:val="009668CF"/>
    <w:rsid w:val="00966ABA"/>
    <w:rsid w:val="00967446"/>
    <w:rsid w:val="009675A5"/>
    <w:rsid w:val="00970052"/>
    <w:rsid w:val="0097090F"/>
    <w:rsid w:val="009719FA"/>
    <w:rsid w:val="009730C0"/>
    <w:rsid w:val="009734CC"/>
    <w:rsid w:val="00973841"/>
    <w:rsid w:val="00973D97"/>
    <w:rsid w:val="009742AD"/>
    <w:rsid w:val="00976964"/>
    <w:rsid w:val="00977E0F"/>
    <w:rsid w:val="00977FF7"/>
    <w:rsid w:val="00981607"/>
    <w:rsid w:val="00984201"/>
    <w:rsid w:val="00984CF8"/>
    <w:rsid w:val="009850B0"/>
    <w:rsid w:val="00985E60"/>
    <w:rsid w:val="0098741E"/>
    <w:rsid w:val="00987810"/>
    <w:rsid w:val="00990457"/>
    <w:rsid w:val="0099085B"/>
    <w:rsid w:val="00990D9C"/>
    <w:rsid w:val="009914C8"/>
    <w:rsid w:val="00992EB4"/>
    <w:rsid w:val="00993712"/>
    <w:rsid w:val="00995058"/>
    <w:rsid w:val="00995764"/>
    <w:rsid w:val="0099671A"/>
    <w:rsid w:val="00996972"/>
    <w:rsid w:val="00997601"/>
    <w:rsid w:val="009979B8"/>
    <w:rsid w:val="009A0177"/>
    <w:rsid w:val="009A03A1"/>
    <w:rsid w:val="009A11B2"/>
    <w:rsid w:val="009A12C6"/>
    <w:rsid w:val="009A1717"/>
    <w:rsid w:val="009A1B87"/>
    <w:rsid w:val="009A1B88"/>
    <w:rsid w:val="009A1D24"/>
    <w:rsid w:val="009A2076"/>
    <w:rsid w:val="009A249C"/>
    <w:rsid w:val="009A2DDA"/>
    <w:rsid w:val="009A2E89"/>
    <w:rsid w:val="009A3330"/>
    <w:rsid w:val="009A343A"/>
    <w:rsid w:val="009A38F0"/>
    <w:rsid w:val="009A46DE"/>
    <w:rsid w:val="009A4793"/>
    <w:rsid w:val="009A5199"/>
    <w:rsid w:val="009A6129"/>
    <w:rsid w:val="009A6D15"/>
    <w:rsid w:val="009A6D19"/>
    <w:rsid w:val="009A7550"/>
    <w:rsid w:val="009A7C53"/>
    <w:rsid w:val="009A7F0C"/>
    <w:rsid w:val="009B0949"/>
    <w:rsid w:val="009B1C82"/>
    <w:rsid w:val="009B23CB"/>
    <w:rsid w:val="009B415C"/>
    <w:rsid w:val="009B4409"/>
    <w:rsid w:val="009B488F"/>
    <w:rsid w:val="009B4E5C"/>
    <w:rsid w:val="009B6FE9"/>
    <w:rsid w:val="009B7ED4"/>
    <w:rsid w:val="009C0A6A"/>
    <w:rsid w:val="009C0F2F"/>
    <w:rsid w:val="009C14E4"/>
    <w:rsid w:val="009C1C4F"/>
    <w:rsid w:val="009C1E3D"/>
    <w:rsid w:val="009C2C34"/>
    <w:rsid w:val="009C47DA"/>
    <w:rsid w:val="009C50CD"/>
    <w:rsid w:val="009C5536"/>
    <w:rsid w:val="009C707F"/>
    <w:rsid w:val="009D0864"/>
    <w:rsid w:val="009D3AF1"/>
    <w:rsid w:val="009D3B9C"/>
    <w:rsid w:val="009D3E0D"/>
    <w:rsid w:val="009D4D1B"/>
    <w:rsid w:val="009D5872"/>
    <w:rsid w:val="009D5C47"/>
    <w:rsid w:val="009D5F9B"/>
    <w:rsid w:val="009D6237"/>
    <w:rsid w:val="009D6A89"/>
    <w:rsid w:val="009D74AE"/>
    <w:rsid w:val="009D7828"/>
    <w:rsid w:val="009D7D01"/>
    <w:rsid w:val="009E2249"/>
    <w:rsid w:val="009E23BD"/>
    <w:rsid w:val="009E375A"/>
    <w:rsid w:val="009E3D5C"/>
    <w:rsid w:val="009E68C5"/>
    <w:rsid w:val="009F0F9F"/>
    <w:rsid w:val="009F116D"/>
    <w:rsid w:val="009F2AA9"/>
    <w:rsid w:val="009F461D"/>
    <w:rsid w:val="009F5F57"/>
    <w:rsid w:val="009F67FA"/>
    <w:rsid w:val="009F7217"/>
    <w:rsid w:val="00A00916"/>
    <w:rsid w:val="00A00EF9"/>
    <w:rsid w:val="00A019E4"/>
    <w:rsid w:val="00A02452"/>
    <w:rsid w:val="00A02529"/>
    <w:rsid w:val="00A02D63"/>
    <w:rsid w:val="00A030EF"/>
    <w:rsid w:val="00A031CE"/>
    <w:rsid w:val="00A03227"/>
    <w:rsid w:val="00A0504F"/>
    <w:rsid w:val="00A05287"/>
    <w:rsid w:val="00A052FD"/>
    <w:rsid w:val="00A05415"/>
    <w:rsid w:val="00A0549E"/>
    <w:rsid w:val="00A0576C"/>
    <w:rsid w:val="00A05CE3"/>
    <w:rsid w:val="00A065D0"/>
    <w:rsid w:val="00A06DC5"/>
    <w:rsid w:val="00A1024E"/>
    <w:rsid w:val="00A10935"/>
    <w:rsid w:val="00A10AC3"/>
    <w:rsid w:val="00A12BD4"/>
    <w:rsid w:val="00A13D89"/>
    <w:rsid w:val="00A1545F"/>
    <w:rsid w:val="00A1773B"/>
    <w:rsid w:val="00A17BDE"/>
    <w:rsid w:val="00A21325"/>
    <w:rsid w:val="00A22018"/>
    <w:rsid w:val="00A2272F"/>
    <w:rsid w:val="00A22D61"/>
    <w:rsid w:val="00A249D3"/>
    <w:rsid w:val="00A26B5C"/>
    <w:rsid w:val="00A26BE4"/>
    <w:rsid w:val="00A27468"/>
    <w:rsid w:val="00A27A05"/>
    <w:rsid w:val="00A303E8"/>
    <w:rsid w:val="00A31626"/>
    <w:rsid w:val="00A31EBE"/>
    <w:rsid w:val="00A33120"/>
    <w:rsid w:val="00A33D5E"/>
    <w:rsid w:val="00A34853"/>
    <w:rsid w:val="00A34E5D"/>
    <w:rsid w:val="00A353FB"/>
    <w:rsid w:val="00A3565E"/>
    <w:rsid w:val="00A359F4"/>
    <w:rsid w:val="00A37623"/>
    <w:rsid w:val="00A40429"/>
    <w:rsid w:val="00A41770"/>
    <w:rsid w:val="00A41AD4"/>
    <w:rsid w:val="00A423C0"/>
    <w:rsid w:val="00A43720"/>
    <w:rsid w:val="00A442F1"/>
    <w:rsid w:val="00A44D79"/>
    <w:rsid w:val="00A4504D"/>
    <w:rsid w:val="00A475F0"/>
    <w:rsid w:val="00A47952"/>
    <w:rsid w:val="00A50B3F"/>
    <w:rsid w:val="00A50C28"/>
    <w:rsid w:val="00A51ED8"/>
    <w:rsid w:val="00A53F50"/>
    <w:rsid w:val="00A60264"/>
    <w:rsid w:val="00A607AB"/>
    <w:rsid w:val="00A60CF7"/>
    <w:rsid w:val="00A621E5"/>
    <w:rsid w:val="00A6339A"/>
    <w:rsid w:val="00A63722"/>
    <w:rsid w:val="00A63C0E"/>
    <w:rsid w:val="00A64E81"/>
    <w:rsid w:val="00A65C61"/>
    <w:rsid w:val="00A663AA"/>
    <w:rsid w:val="00A70472"/>
    <w:rsid w:val="00A70688"/>
    <w:rsid w:val="00A708F7"/>
    <w:rsid w:val="00A70CF4"/>
    <w:rsid w:val="00A70E2F"/>
    <w:rsid w:val="00A71BA0"/>
    <w:rsid w:val="00A72491"/>
    <w:rsid w:val="00A72AA5"/>
    <w:rsid w:val="00A74A64"/>
    <w:rsid w:val="00A74C85"/>
    <w:rsid w:val="00A7571B"/>
    <w:rsid w:val="00A763A2"/>
    <w:rsid w:val="00A76AD1"/>
    <w:rsid w:val="00A774C8"/>
    <w:rsid w:val="00A77FEE"/>
    <w:rsid w:val="00A80A51"/>
    <w:rsid w:val="00A80B4F"/>
    <w:rsid w:val="00A81E36"/>
    <w:rsid w:val="00A820D1"/>
    <w:rsid w:val="00A82808"/>
    <w:rsid w:val="00A82BCD"/>
    <w:rsid w:val="00A82DD3"/>
    <w:rsid w:val="00A82FAA"/>
    <w:rsid w:val="00A84E98"/>
    <w:rsid w:val="00A857C3"/>
    <w:rsid w:val="00A85F2A"/>
    <w:rsid w:val="00A872C1"/>
    <w:rsid w:val="00A87DC4"/>
    <w:rsid w:val="00A903E4"/>
    <w:rsid w:val="00A907B5"/>
    <w:rsid w:val="00A90B95"/>
    <w:rsid w:val="00A91D0F"/>
    <w:rsid w:val="00A92617"/>
    <w:rsid w:val="00A93C77"/>
    <w:rsid w:val="00A93CBB"/>
    <w:rsid w:val="00A94AD5"/>
    <w:rsid w:val="00A970B2"/>
    <w:rsid w:val="00A97623"/>
    <w:rsid w:val="00A9791A"/>
    <w:rsid w:val="00AA057C"/>
    <w:rsid w:val="00AA1269"/>
    <w:rsid w:val="00AA15F3"/>
    <w:rsid w:val="00AA2FF3"/>
    <w:rsid w:val="00AA334E"/>
    <w:rsid w:val="00AA3995"/>
    <w:rsid w:val="00AA3F89"/>
    <w:rsid w:val="00AA422C"/>
    <w:rsid w:val="00AA4256"/>
    <w:rsid w:val="00AA4A1A"/>
    <w:rsid w:val="00AA4EB6"/>
    <w:rsid w:val="00AA5BA3"/>
    <w:rsid w:val="00AA60D5"/>
    <w:rsid w:val="00AA627B"/>
    <w:rsid w:val="00AA6605"/>
    <w:rsid w:val="00AA6C4F"/>
    <w:rsid w:val="00AB0335"/>
    <w:rsid w:val="00AB247F"/>
    <w:rsid w:val="00AB2BE0"/>
    <w:rsid w:val="00AB34B1"/>
    <w:rsid w:val="00AB4CA2"/>
    <w:rsid w:val="00AB5BBA"/>
    <w:rsid w:val="00AB6241"/>
    <w:rsid w:val="00AB651F"/>
    <w:rsid w:val="00AC0097"/>
    <w:rsid w:val="00AC01CE"/>
    <w:rsid w:val="00AC1D97"/>
    <w:rsid w:val="00AC257C"/>
    <w:rsid w:val="00AC38B8"/>
    <w:rsid w:val="00AC4DA8"/>
    <w:rsid w:val="00AC62FC"/>
    <w:rsid w:val="00AC6B36"/>
    <w:rsid w:val="00AC6DA9"/>
    <w:rsid w:val="00AC76D7"/>
    <w:rsid w:val="00AC7F97"/>
    <w:rsid w:val="00AD14F8"/>
    <w:rsid w:val="00AD1EAE"/>
    <w:rsid w:val="00AD2663"/>
    <w:rsid w:val="00AD50B8"/>
    <w:rsid w:val="00AD6789"/>
    <w:rsid w:val="00AD6949"/>
    <w:rsid w:val="00AD79D7"/>
    <w:rsid w:val="00AE00F7"/>
    <w:rsid w:val="00AE0925"/>
    <w:rsid w:val="00AE0CF5"/>
    <w:rsid w:val="00AE0EA0"/>
    <w:rsid w:val="00AE1235"/>
    <w:rsid w:val="00AE1B7F"/>
    <w:rsid w:val="00AE258A"/>
    <w:rsid w:val="00AE279E"/>
    <w:rsid w:val="00AE293C"/>
    <w:rsid w:val="00AE2F40"/>
    <w:rsid w:val="00AE303C"/>
    <w:rsid w:val="00AE3A29"/>
    <w:rsid w:val="00AE3D28"/>
    <w:rsid w:val="00AE40ED"/>
    <w:rsid w:val="00AE4661"/>
    <w:rsid w:val="00AE4A4B"/>
    <w:rsid w:val="00AE513F"/>
    <w:rsid w:val="00AE545C"/>
    <w:rsid w:val="00AE6DAF"/>
    <w:rsid w:val="00AE7985"/>
    <w:rsid w:val="00AF0BF7"/>
    <w:rsid w:val="00AF2A9B"/>
    <w:rsid w:val="00AF4438"/>
    <w:rsid w:val="00AF4E31"/>
    <w:rsid w:val="00AF4FDC"/>
    <w:rsid w:val="00AF5705"/>
    <w:rsid w:val="00AF61DA"/>
    <w:rsid w:val="00AF7F06"/>
    <w:rsid w:val="00B0285D"/>
    <w:rsid w:val="00B03BA3"/>
    <w:rsid w:val="00B05583"/>
    <w:rsid w:val="00B05FE2"/>
    <w:rsid w:val="00B062AF"/>
    <w:rsid w:val="00B07612"/>
    <w:rsid w:val="00B07E0A"/>
    <w:rsid w:val="00B11540"/>
    <w:rsid w:val="00B12035"/>
    <w:rsid w:val="00B12BF9"/>
    <w:rsid w:val="00B13D38"/>
    <w:rsid w:val="00B13EF2"/>
    <w:rsid w:val="00B14BF6"/>
    <w:rsid w:val="00B1530D"/>
    <w:rsid w:val="00B157CF"/>
    <w:rsid w:val="00B167B6"/>
    <w:rsid w:val="00B16E8E"/>
    <w:rsid w:val="00B17979"/>
    <w:rsid w:val="00B17AD0"/>
    <w:rsid w:val="00B2192C"/>
    <w:rsid w:val="00B26A1E"/>
    <w:rsid w:val="00B26CA4"/>
    <w:rsid w:val="00B26EF6"/>
    <w:rsid w:val="00B2735E"/>
    <w:rsid w:val="00B279F2"/>
    <w:rsid w:val="00B27A0D"/>
    <w:rsid w:val="00B30AE7"/>
    <w:rsid w:val="00B316DA"/>
    <w:rsid w:val="00B32868"/>
    <w:rsid w:val="00B3477E"/>
    <w:rsid w:val="00B34877"/>
    <w:rsid w:val="00B35089"/>
    <w:rsid w:val="00B353C8"/>
    <w:rsid w:val="00B3642F"/>
    <w:rsid w:val="00B36A5C"/>
    <w:rsid w:val="00B401D7"/>
    <w:rsid w:val="00B40C1D"/>
    <w:rsid w:val="00B413F8"/>
    <w:rsid w:val="00B416B0"/>
    <w:rsid w:val="00B41F86"/>
    <w:rsid w:val="00B427B1"/>
    <w:rsid w:val="00B427E4"/>
    <w:rsid w:val="00B4308F"/>
    <w:rsid w:val="00B43323"/>
    <w:rsid w:val="00B433B8"/>
    <w:rsid w:val="00B438F7"/>
    <w:rsid w:val="00B43B8F"/>
    <w:rsid w:val="00B43C46"/>
    <w:rsid w:val="00B4541A"/>
    <w:rsid w:val="00B46057"/>
    <w:rsid w:val="00B47DDE"/>
    <w:rsid w:val="00B504DA"/>
    <w:rsid w:val="00B5072D"/>
    <w:rsid w:val="00B50BDF"/>
    <w:rsid w:val="00B518A5"/>
    <w:rsid w:val="00B51B9D"/>
    <w:rsid w:val="00B52A5A"/>
    <w:rsid w:val="00B52B34"/>
    <w:rsid w:val="00B53CB7"/>
    <w:rsid w:val="00B53EC4"/>
    <w:rsid w:val="00B54C4B"/>
    <w:rsid w:val="00B55132"/>
    <w:rsid w:val="00B551C1"/>
    <w:rsid w:val="00B554DA"/>
    <w:rsid w:val="00B559D2"/>
    <w:rsid w:val="00B55DBF"/>
    <w:rsid w:val="00B5697E"/>
    <w:rsid w:val="00B60AA1"/>
    <w:rsid w:val="00B61935"/>
    <w:rsid w:val="00B61A43"/>
    <w:rsid w:val="00B61BAE"/>
    <w:rsid w:val="00B64505"/>
    <w:rsid w:val="00B6546A"/>
    <w:rsid w:val="00B658FF"/>
    <w:rsid w:val="00B66F47"/>
    <w:rsid w:val="00B678B2"/>
    <w:rsid w:val="00B67912"/>
    <w:rsid w:val="00B67EC2"/>
    <w:rsid w:val="00B70043"/>
    <w:rsid w:val="00B70115"/>
    <w:rsid w:val="00B703CB"/>
    <w:rsid w:val="00B72173"/>
    <w:rsid w:val="00B728E1"/>
    <w:rsid w:val="00B737F7"/>
    <w:rsid w:val="00B73C41"/>
    <w:rsid w:val="00B73CE1"/>
    <w:rsid w:val="00B74754"/>
    <w:rsid w:val="00B74B0B"/>
    <w:rsid w:val="00B75232"/>
    <w:rsid w:val="00B75D8B"/>
    <w:rsid w:val="00B76F7B"/>
    <w:rsid w:val="00B77119"/>
    <w:rsid w:val="00B77523"/>
    <w:rsid w:val="00B7789F"/>
    <w:rsid w:val="00B8063F"/>
    <w:rsid w:val="00B80FDF"/>
    <w:rsid w:val="00B81951"/>
    <w:rsid w:val="00B8286F"/>
    <w:rsid w:val="00B8305E"/>
    <w:rsid w:val="00B83347"/>
    <w:rsid w:val="00B83E94"/>
    <w:rsid w:val="00B8401E"/>
    <w:rsid w:val="00B84C17"/>
    <w:rsid w:val="00B879AE"/>
    <w:rsid w:val="00B9014B"/>
    <w:rsid w:val="00B903FA"/>
    <w:rsid w:val="00B906CA"/>
    <w:rsid w:val="00B90A96"/>
    <w:rsid w:val="00B919B0"/>
    <w:rsid w:val="00B92331"/>
    <w:rsid w:val="00B92439"/>
    <w:rsid w:val="00B92B6F"/>
    <w:rsid w:val="00B92D7F"/>
    <w:rsid w:val="00B92F92"/>
    <w:rsid w:val="00B9530B"/>
    <w:rsid w:val="00B95705"/>
    <w:rsid w:val="00B967D4"/>
    <w:rsid w:val="00B97E39"/>
    <w:rsid w:val="00BA046C"/>
    <w:rsid w:val="00BA16CC"/>
    <w:rsid w:val="00BA1B90"/>
    <w:rsid w:val="00BA1D1F"/>
    <w:rsid w:val="00BA1FE4"/>
    <w:rsid w:val="00BA33A8"/>
    <w:rsid w:val="00BA3698"/>
    <w:rsid w:val="00BA44D2"/>
    <w:rsid w:val="00BA451C"/>
    <w:rsid w:val="00BA4CFE"/>
    <w:rsid w:val="00BA4F3C"/>
    <w:rsid w:val="00BA6459"/>
    <w:rsid w:val="00BB0276"/>
    <w:rsid w:val="00BB0FE1"/>
    <w:rsid w:val="00BB1245"/>
    <w:rsid w:val="00BB3483"/>
    <w:rsid w:val="00BB5951"/>
    <w:rsid w:val="00BB6854"/>
    <w:rsid w:val="00BB6ABF"/>
    <w:rsid w:val="00BB6B71"/>
    <w:rsid w:val="00BB6E04"/>
    <w:rsid w:val="00BB7A54"/>
    <w:rsid w:val="00BC0D43"/>
    <w:rsid w:val="00BC10E5"/>
    <w:rsid w:val="00BC1AB4"/>
    <w:rsid w:val="00BC25CA"/>
    <w:rsid w:val="00BC29A8"/>
    <w:rsid w:val="00BC39F2"/>
    <w:rsid w:val="00BC3FB0"/>
    <w:rsid w:val="00BC54A5"/>
    <w:rsid w:val="00BC550C"/>
    <w:rsid w:val="00BC5896"/>
    <w:rsid w:val="00BC5B62"/>
    <w:rsid w:val="00BC5E94"/>
    <w:rsid w:val="00BC6425"/>
    <w:rsid w:val="00BC684B"/>
    <w:rsid w:val="00BC7D8B"/>
    <w:rsid w:val="00BD10BD"/>
    <w:rsid w:val="00BD3BAF"/>
    <w:rsid w:val="00BD401C"/>
    <w:rsid w:val="00BD4ADB"/>
    <w:rsid w:val="00BD5D70"/>
    <w:rsid w:val="00BD6CEF"/>
    <w:rsid w:val="00BD6EE8"/>
    <w:rsid w:val="00BE070F"/>
    <w:rsid w:val="00BE1197"/>
    <w:rsid w:val="00BE2193"/>
    <w:rsid w:val="00BE37CF"/>
    <w:rsid w:val="00BE73C2"/>
    <w:rsid w:val="00BF0212"/>
    <w:rsid w:val="00BF1BC8"/>
    <w:rsid w:val="00BF23D4"/>
    <w:rsid w:val="00BF3829"/>
    <w:rsid w:val="00BF4A62"/>
    <w:rsid w:val="00BF58C2"/>
    <w:rsid w:val="00BF5D64"/>
    <w:rsid w:val="00BF7897"/>
    <w:rsid w:val="00BF7BDD"/>
    <w:rsid w:val="00C0063C"/>
    <w:rsid w:val="00C00A04"/>
    <w:rsid w:val="00C0294E"/>
    <w:rsid w:val="00C02F66"/>
    <w:rsid w:val="00C03369"/>
    <w:rsid w:val="00C0341D"/>
    <w:rsid w:val="00C034C2"/>
    <w:rsid w:val="00C035CD"/>
    <w:rsid w:val="00C036F6"/>
    <w:rsid w:val="00C03855"/>
    <w:rsid w:val="00C05220"/>
    <w:rsid w:val="00C05727"/>
    <w:rsid w:val="00C05B0E"/>
    <w:rsid w:val="00C05F3B"/>
    <w:rsid w:val="00C06008"/>
    <w:rsid w:val="00C06A66"/>
    <w:rsid w:val="00C06CFC"/>
    <w:rsid w:val="00C10B00"/>
    <w:rsid w:val="00C10F3A"/>
    <w:rsid w:val="00C1177E"/>
    <w:rsid w:val="00C117E7"/>
    <w:rsid w:val="00C12BE1"/>
    <w:rsid w:val="00C12F0D"/>
    <w:rsid w:val="00C12F72"/>
    <w:rsid w:val="00C131FF"/>
    <w:rsid w:val="00C132CA"/>
    <w:rsid w:val="00C14601"/>
    <w:rsid w:val="00C14799"/>
    <w:rsid w:val="00C14AA2"/>
    <w:rsid w:val="00C15269"/>
    <w:rsid w:val="00C16B7B"/>
    <w:rsid w:val="00C22F5C"/>
    <w:rsid w:val="00C252BC"/>
    <w:rsid w:val="00C2643F"/>
    <w:rsid w:val="00C305ED"/>
    <w:rsid w:val="00C31736"/>
    <w:rsid w:val="00C31E1E"/>
    <w:rsid w:val="00C32016"/>
    <w:rsid w:val="00C33EAE"/>
    <w:rsid w:val="00C344E3"/>
    <w:rsid w:val="00C345F5"/>
    <w:rsid w:val="00C372E7"/>
    <w:rsid w:val="00C37D44"/>
    <w:rsid w:val="00C40340"/>
    <w:rsid w:val="00C41B57"/>
    <w:rsid w:val="00C42300"/>
    <w:rsid w:val="00C423BA"/>
    <w:rsid w:val="00C4343C"/>
    <w:rsid w:val="00C43630"/>
    <w:rsid w:val="00C43BFE"/>
    <w:rsid w:val="00C45167"/>
    <w:rsid w:val="00C45979"/>
    <w:rsid w:val="00C46FEF"/>
    <w:rsid w:val="00C47307"/>
    <w:rsid w:val="00C47433"/>
    <w:rsid w:val="00C47C51"/>
    <w:rsid w:val="00C47CDC"/>
    <w:rsid w:val="00C508E5"/>
    <w:rsid w:val="00C51561"/>
    <w:rsid w:val="00C519DA"/>
    <w:rsid w:val="00C51F10"/>
    <w:rsid w:val="00C541F8"/>
    <w:rsid w:val="00C5556D"/>
    <w:rsid w:val="00C55D2D"/>
    <w:rsid w:val="00C55E34"/>
    <w:rsid w:val="00C57878"/>
    <w:rsid w:val="00C57EC2"/>
    <w:rsid w:val="00C611A2"/>
    <w:rsid w:val="00C6142E"/>
    <w:rsid w:val="00C6292B"/>
    <w:rsid w:val="00C6329F"/>
    <w:rsid w:val="00C637AC"/>
    <w:rsid w:val="00C63A6D"/>
    <w:rsid w:val="00C63AB1"/>
    <w:rsid w:val="00C6427C"/>
    <w:rsid w:val="00C65BE2"/>
    <w:rsid w:val="00C66563"/>
    <w:rsid w:val="00C66AC4"/>
    <w:rsid w:val="00C67383"/>
    <w:rsid w:val="00C7005B"/>
    <w:rsid w:val="00C707FB"/>
    <w:rsid w:val="00C70A9A"/>
    <w:rsid w:val="00C7144A"/>
    <w:rsid w:val="00C7231F"/>
    <w:rsid w:val="00C7368B"/>
    <w:rsid w:val="00C73905"/>
    <w:rsid w:val="00C73BC6"/>
    <w:rsid w:val="00C740AF"/>
    <w:rsid w:val="00C74E7F"/>
    <w:rsid w:val="00C753ED"/>
    <w:rsid w:val="00C7572C"/>
    <w:rsid w:val="00C769A5"/>
    <w:rsid w:val="00C76AE5"/>
    <w:rsid w:val="00C770D5"/>
    <w:rsid w:val="00C77B11"/>
    <w:rsid w:val="00C77DD3"/>
    <w:rsid w:val="00C80FAC"/>
    <w:rsid w:val="00C8160F"/>
    <w:rsid w:val="00C8172C"/>
    <w:rsid w:val="00C81CF3"/>
    <w:rsid w:val="00C82535"/>
    <w:rsid w:val="00C82BE6"/>
    <w:rsid w:val="00C8448D"/>
    <w:rsid w:val="00C84713"/>
    <w:rsid w:val="00C84810"/>
    <w:rsid w:val="00C84E52"/>
    <w:rsid w:val="00C851DE"/>
    <w:rsid w:val="00C855E3"/>
    <w:rsid w:val="00C87CF0"/>
    <w:rsid w:val="00C9129A"/>
    <w:rsid w:val="00C915C3"/>
    <w:rsid w:val="00C940EB"/>
    <w:rsid w:val="00C9467C"/>
    <w:rsid w:val="00C95592"/>
    <w:rsid w:val="00C95899"/>
    <w:rsid w:val="00C95E34"/>
    <w:rsid w:val="00C96913"/>
    <w:rsid w:val="00C96B7F"/>
    <w:rsid w:val="00C96EDF"/>
    <w:rsid w:val="00C97136"/>
    <w:rsid w:val="00C97C21"/>
    <w:rsid w:val="00CA00C6"/>
    <w:rsid w:val="00CA0D61"/>
    <w:rsid w:val="00CA10D0"/>
    <w:rsid w:val="00CA1866"/>
    <w:rsid w:val="00CA1C06"/>
    <w:rsid w:val="00CA4142"/>
    <w:rsid w:val="00CA53C0"/>
    <w:rsid w:val="00CA7069"/>
    <w:rsid w:val="00CB059F"/>
    <w:rsid w:val="00CB1463"/>
    <w:rsid w:val="00CB194B"/>
    <w:rsid w:val="00CB19F9"/>
    <w:rsid w:val="00CB20D6"/>
    <w:rsid w:val="00CB2E55"/>
    <w:rsid w:val="00CB32DD"/>
    <w:rsid w:val="00CB35D3"/>
    <w:rsid w:val="00CB37D1"/>
    <w:rsid w:val="00CB3834"/>
    <w:rsid w:val="00CB3A50"/>
    <w:rsid w:val="00CB3C97"/>
    <w:rsid w:val="00CB406B"/>
    <w:rsid w:val="00CB4C74"/>
    <w:rsid w:val="00CB549C"/>
    <w:rsid w:val="00CB5F2C"/>
    <w:rsid w:val="00CB6691"/>
    <w:rsid w:val="00CB7076"/>
    <w:rsid w:val="00CB7B55"/>
    <w:rsid w:val="00CC05A4"/>
    <w:rsid w:val="00CC0C51"/>
    <w:rsid w:val="00CC158D"/>
    <w:rsid w:val="00CC1AFC"/>
    <w:rsid w:val="00CC26B7"/>
    <w:rsid w:val="00CC30CD"/>
    <w:rsid w:val="00CC375F"/>
    <w:rsid w:val="00CC3B6A"/>
    <w:rsid w:val="00CC3BF4"/>
    <w:rsid w:val="00CC437F"/>
    <w:rsid w:val="00CC52EA"/>
    <w:rsid w:val="00CC5439"/>
    <w:rsid w:val="00CC5A6F"/>
    <w:rsid w:val="00CC5F00"/>
    <w:rsid w:val="00CC6578"/>
    <w:rsid w:val="00CC6D54"/>
    <w:rsid w:val="00CC6E44"/>
    <w:rsid w:val="00CD0425"/>
    <w:rsid w:val="00CD058C"/>
    <w:rsid w:val="00CD0B93"/>
    <w:rsid w:val="00CD1445"/>
    <w:rsid w:val="00CD2925"/>
    <w:rsid w:val="00CD44A3"/>
    <w:rsid w:val="00CE14EC"/>
    <w:rsid w:val="00CE4B7F"/>
    <w:rsid w:val="00CE57C4"/>
    <w:rsid w:val="00CE585A"/>
    <w:rsid w:val="00CE66DB"/>
    <w:rsid w:val="00CE6F3C"/>
    <w:rsid w:val="00CE77A2"/>
    <w:rsid w:val="00CE7CA2"/>
    <w:rsid w:val="00CF1614"/>
    <w:rsid w:val="00CF2813"/>
    <w:rsid w:val="00CF2A84"/>
    <w:rsid w:val="00CF2D55"/>
    <w:rsid w:val="00CF3000"/>
    <w:rsid w:val="00CF367C"/>
    <w:rsid w:val="00CF37E6"/>
    <w:rsid w:val="00CF40F2"/>
    <w:rsid w:val="00CF46AF"/>
    <w:rsid w:val="00CF55CF"/>
    <w:rsid w:val="00CF5D8C"/>
    <w:rsid w:val="00CF7361"/>
    <w:rsid w:val="00CF768C"/>
    <w:rsid w:val="00D00368"/>
    <w:rsid w:val="00D0079D"/>
    <w:rsid w:val="00D00BF6"/>
    <w:rsid w:val="00D00D42"/>
    <w:rsid w:val="00D00E44"/>
    <w:rsid w:val="00D02715"/>
    <w:rsid w:val="00D02D0F"/>
    <w:rsid w:val="00D0423A"/>
    <w:rsid w:val="00D04CDF"/>
    <w:rsid w:val="00D04CF5"/>
    <w:rsid w:val="00D0737A"/>
    <w:rsid w:val="00D07BBB"/>
    <w:rsid w:val="00D10EA6"/>
    <w:rsid w:val="00D1174E"/>
    <w:rsid w:val="00D11965"/>
    <w:rsid w:val="00D11966"/>
    <w:rsid w:val="00D11BB4"/>
    <w:rsid w:val="00D14B4E"/>
    <w:rsid w:val="00D16822"/>
    <w:rsid w:val="00D17C8B"/>
    <w:rsid w:val="00D21191"/>
    <w:rsid w:val="00D21887"/>
    <w:rsid w:val="00D21D7B"/>
    <w:rsid w:val="00D21F5C"/>
    <w:rsid w:val="00D22D0B"/>
    <w:rsid w:val="00D2360D"/>
    <w:rsid w:val="00D25C6B"/>
    <w:rsid w:val="00D2714D"/>
    <w:rsid w:val="00D3063C"/>
    <w:rsid w:val="00D30C45"/>
    <w:rsid w:val="00D30FE8"/>
    <w:rsid w:val="00D3110E"/>
    <w:rsid w:val="00D322F3"/>
    <w:rsid w:val="00D32691"/>
    <w:rsid w:val="00D32C64"/>
    <w:rsid w:val="00D32DF7"/>
    <w:rsid w:val="00D32EFF"/>
    <w:rsid w:val="00D33CB4"/>
    <w:rsid w:val="00D33FBE"/>
    <w:rsid w:val="00D3484D"/>
    <w:rsid w:val="00D37136"/>
    <w:rsid w:val="00D3763C"/>
    <w:rsid w:val="00D40648"/>
    <w:rsid w:val="00D409C6"/>
    <w:rsid w:val="00D40C00"/>
    <w:rsid w:val="00D40CD6"/>
    <w:rsid w:val="00D42092"/>
    <w:rsid w:val="00D42A95"/>
    <w:rsid w:val="00D42CB8"/>
    <w:rsid w:val="00D43ABB"/>
    <w:rsid w:val="00D45740"/>
    <w:rsid w:val="00D45BD7"/>
    <w:rsid w:val="00D46835"/>
    <w:rsid w:val="00D47992"/>
    <w:rsid w:val="00D505D0"/>
    <w:rsid w:val="00D50655"/>
    <w:rsid w:val="00D51292"/>
    <w:rsid w:val="00D51AF2"/>
    <w:rsid w:val="00D52C30"/>
    <w:rsid w:val="00D53308"/>
    <w:rsid w:val="00D53780"/>
    <w:rsid w:val="00D55546"/>
    <w:rsid w:val="00D55824"/>
    <w:rsid w:val="00D56085"/>
    <w:rsid w:val="00D56FD2"/>
    <w:rsid w:val="00D57247"/>
    <w:rsid w:val="00D5794D"/>
    <w:rsid w:val="00D61217"/>
    <w:rsid w:val="00D62193"/>
    <w:rsid w:val="00D6350E"/>
    <w:rsid w:val="00D64468"/>
    <w:rsid w:val="00D64C8F"/>
    <w:rsid w:val="00D659DF"/>
    <w:rsid w:val="00D661F8"/>
    <w:rsid w:val="00D70F63"/>
    <w:rsid w:val="00D711E1"/>
    <w:rsid w:val="00D716A1"/>
    <w:rsid w:val="00D7200A"/>
    <w:rsid w:val="00D72F27"/>
    <w:rsid w:val="00D72F51"/>
    <w:rsid w:val="00D74EBE"/>
    <w:rsid w:val="00D74EEA"/>
    <w:rsid w:val="00D751CD"/>
    <w:rsid w:val="00D756B9"/>
    <w:rsid w:val="00D764E3"/>
    <w:rsid w:val="00D8071E"/>
    <w:rsid w:val="00D807DD"/>
    <w:rsid w:val="00D810B9"/>
    <w:rsid w:val="00D815C2"/>
    <w:rsid w:val="00D82988"/>
    <w:rsid w:val="00D834F3"/>
    <w:rsid w:val="00D835FC"/>
    <w:rsid w:val="00D84972"/>
    <w:rsid w:val="00D85079"/>
    <w:rsid w:val="00D8512D"/>
    <w:rsid w:val="00D869DB"/>
    <w:rsid w:val="00D86F79"/>
    <w:rsid w:val="00D8720B"/>
    <w:rsid w:val="00D91A1C"/>
    <w:rsid w:val="00D9379D"/>
    <w:rsid w:val="00D944F7"/>
    <w:rsid w:val="00D95BEA"/>
    <w:rsid w:val="00D96112"/>
    <w:rsid w:val="00D9690D"/>
    <w:rsid w:val="00D96C3E"/>
    <w:rsid w:val="00DA0D6B"/>
    <w:rsid w:val="00DA1464"/>
    <w:rsid w:val="00DA2B13"/>
    <w:rsid w:val="00DA2E0E"/>
    <w:rsid w:val="00DA4C63"/>
    <w:rsid w:val="00DA4E99"/>
    <w:rsid w:val="00DA5218"/>
    <w:rsid w:val="00DA5865"/>
    <w:rsid w:val="00DA5E34"/>
    <w:rsid w:val="00DA7BAB"/>
    <w:rsid w:val="00DB0668"/>
    <w:rsid w:val="00DB0C83"/>
    <w:rsid w:val="00DB0CCF"/>
    <w:rsid w:val="00DB0E00"/>
    <w:rsid w:val="00DB1AE1"/>
    <w:rsid w:val="00DB1B01"/>
    <w:rsid w:val="00DB264D"/>
    <w:rsid w:val="00DB27D4"/>
    <w:rsid w:val="00DB3BE8"/>
    <w:rsid w:val="00DB4134"/>
    <w:rsid w:val="00DB4CC6"/>
    <w:rsid w:val="00DB4E27"/>
    <w:rsid w:val="00DB72DE"/>
    <w:rsid w:val="00DB784C"/>
    <w:rsid w:val="00DB78C7"/>
    <w:rsid w:val="00DC1620"/>
    <w:rsid w:val="00DC1641"/>
    <w:rsid w:val="00DC1C32"/>
    <w:rsid w:val="00DC1D97"/>
    <w:rsid w:val="00DC2FA5"/>
    <w:rsid w:val="00DC397B"/>
    <w:rsid w:val="00DC3C31"/>
    <w:rsid w:val="00DC42B0"/>
    <w:rsid w:val="00DC5DFB"/>
    <w:rsid w:val="00DC5F14"/>
    <w:rsid w:val="00DC6B8D"/>
    <w:rsid w:val="00DC7410"/>
    <w:rsid w:val="00DD07EC"/>
    <w:rsid w:val="00DD08F6"/>
    <w:rsid w:val="00DD0FFC"/>
    <w:rsid w:val="00DD2B4F"/>
    <w:rsid w:val="00DD3337"/>
    <w:rsid w:val="00DD35A6"/>
    <w:rsid w:val="00DD3F8A"/>
    <w:rsid w:val="00DD447A"/>
    <w:rsid w:val="00DD449B"/>
    <w:rsid w:val="00DD5428"/>
    <w:rsid w:val="00DD5D2F"/>
    <w:rsid w:val="00DD6147"/>
    <w:rsid w:val="00DD66F6"/>
    <w:rsid w:val="00DD66F9"/>
    <w:rsid w:val="00DD67D8"/>
    <w:rsid w:val="00DD7576"/>
    <w:rsid w:val="00DD7660"/>
    <w:rsid w:val="00DE006E"/>
    <w:rsid w:val="00DE0639"/>
    <w:rsid w:val="00DE07DC"/>
    <w:rsid w:val="00DE110F"/>
    <w:rsid w:val="00DE146D"/>
    <w:rsid w:val="00DE177B"/>
    <w:rsid w:val="00DE223C"/>
    <w:rsid w:val="00DE3429"/>
    <w:rsid w:val="00DE40FB"/>
    <w:rsid w:val="00DE4251"/>
    <w:rsid w:val="00DE7BB8"/>
    <w:rsid w:val="00DF04FE"/>
    <w:rsid w:val="00DF12EE"/>
    <w:rsid w:val="00DF1F96"/>
    <w:rsid w:val="00DF27AE"/>
    <w:rsid w:val="00DF2F27"/>
    <w:rsid w:val="00DF3FCD"/>
    <w:rsid w:val="00DF4C18"/>
    <w:rsid w:val="00DF4EAC"/>
    <w:rsid w:val="00DF5965"/>
    <w:rsid w:val="00DF64A0"/>
    <w:rsid w:val="00DF6D8D"/>
    <w:rsid w:val="00DF6DB1"/>
    <w:rsid w:val="00DF7C30"/>
    <w:rsid w:val="00E00B8D"/>
    <w:rsid w:val="00E00E60"/>
    <w:rsid w:val="00E02641"/>
    <w:rsid w:val="00E027AC"/>
    <w:rsid w:val="00E02F0D"/>
    <w:rsid w:val="00E03F28"/>
    <w:rsid w:val="00E0576C"/>
    <w:rsid w:val="00E059E3"/>
    <w:rsid w:val="00E05E5C"/>
    <w:rsid w:val="00E06403"/>
    <w:rsid w:val="00E06862"/>
    <w:rsid w:val="00E06911"/>
    <w:rsid w:val="00E06DBC"/>
    <w:rsid w:val="00E101A3"/>
    <w:rsid w:val="00E10747"/>
    <w:rsid w:val="00E10EED"/>
    <w:rsid w:val="00E11D6F"/>
    <w:rsid w:val="00E12482"/>
    <w:rsid w:val="00E12ADB"/>
    <w:rsid w:val="00E13B77"/>
    <w:rsid w:val="00E16BEA"/>
    <w:rsid w:val="00E1752E"/>
    <w:rsid w:val="00E17E53"/>
    <w:rsid w:val="00E20813"/>
    <w:rsid w:val="00E209EC"/>
    <w:rsid w:val="00E21072"/>
    <w:rsid w:val="00E23F4F"/>
    <w:rsid w:val="00E240D1"/>
    <w:rsid w:val="00E24D70"/>
    <w:rsid w:val="00E267E9"/>
    <w:rsid w:val="00E27369"/>
    <w:rsid w:val="00E2765F"/>
    <w:rsid w:val="00E31175"/>
    <w:rsid w:val="00E31966"/>
    <w:rsid w:val="00E32118"/>
    <w:rsid w:val="00E34576"/>
    <w:rsid w:val="00E357AB"/>
    <w:rsid w:val="00E35A01"/>
    <w:rsid w:val="00E37529"/>
    <w:rsid w:val="00E37A18"/>
    <w:rsid w:val="00E40FC9"/>
    <w:rsid w:val="00E41A79"/>
    <w:rsid w:val="00E42C16"/>
    <w:rsid w:val="00E436E9"/>
    <w:rsid w:val="00E438C8"/>
    <w:rsid w:val="00E457A6"/>
    <w:rsid w:val="00E45F9F"/>
    <w:rsid w:val="00E46C4C"/>
    <w:rsid w:val="00E47ED2"/>
    <w:rsid w:val="00E50193"/>
    <w:rsid w:val="00E524D3"/>
    <w:rsid w:val="00E52EC6"/>
    <w:rsid w:val="00E53414"/>
    <w:rsid w:val="00E535DA"/>
    <w:rsid w:val="00E541F9"/>
    <w:rsid w:val="00E5450D"/>
    <w:rsid w:val="00E5514E"/>
    <w:rsid w:val="00E56964"/>
    <w:rsid w:val="00E60A55"/>
    <w:rsid w:val="00E60E6D"/>
    <w:rsid w:val="00E60F43"/>
    <w:rsid w:val="00E6131E"/>
    <w:rsid w:val="00E636F9"/>
    <w:rsid w:val="00E64CB3"/>
    <w:rsid w:val="00E6511B"/>
    <w:rsid w:val="00E658FE"/>
    <w:rsid w:val="00E65DBE"/>
    <w:rsid w:val="00E66E1E"/>
    <w:rsid w:val="00E67352"/>
    <w:rsid w:val="00E67370"/>
    <w:rsid w:val="00E67F24"/>
    <w:rsid w:val="00E715AA"/>
    <w:rsid w:val="00E722D2"/>
    <w:rsid w:val="00E72435"/>
    <w:rsid w:val="00E72C58"/>
    <w:rsid w:val="00E72EEF"/>
    <w:rsid w:val="00E734EC"/>
    <w:rsid w:val="00E73590"/>
    <w:rsid w:val="00E74520"/>
    <w:rsid w:val="00E74536"/>
    <w:rsid w:val="00E74AD1"/>
    <w:rsid w:val="00E74E25"/>
    <w:rsid w:val="00E76825"/>
    <w:rsid w:val="00E76EFA"/>
    <w:rsid w:val="00E76F9B"/>
    <w:rsid w:val="00E80317"/>
    <w:rsid w:val="00E812FF"/>
    <w:rsid w:val="00E81DB4"/>
    <w:rsid w:val="00E82184"/>
    <w:rsid w:val="00E82359"/>
    <w:rsid w:val="00E826E8"/>
    <w:rsid w:val="00E82D5E"/>
    <w:rsid w:val="00E844A6"/>
    <w:rsid w:val="00E84721"/>
    <w:rsid w:val="00E85CCB"/>
    <w:rsid w:val="00E87C2E"/>
    <w:rsid w:val="00E90004"/>
    <w:rsid w:val="00E91D33"/>
    <w:rsid w:val="00E922FC"/>
    <w:rsid w:val="00E927BF"/>
    <w:rsid w:val="00E9433B"/>
    <w:rsid w:val="00E94BB5"/>
    <w:rsid w:val="00E95851"/>
    <w:rsid w:val="00E95A59"/>
    <w:rsid w:val="00E965CD"/>
    <w:rsid w:val="00E96DD7"/>
    <w:rsid w:val="00E97A3B"/>
    <w:rsid w:val="00EA0191"/>
    <w:rsid w:val="00EA074C"/>
    <w:rsid w:val="00EA1B2C"/>
    <w:rsid w:val="00EA3E4E"/>
    <w:rsid w:val="00EA3E69"/>
    <w:rsid w:val="00EA3F46"/>
    <w:rsid w:val="00EA4A9C"/>
    <w:rsid w:val="00EA514C"/>
    <w:rsid w:val="00EA538C"/>
    <w:rsid w:val="00EA6480"/>
    <w:rsid w:val="00EB07D6"/>
    <w:rsid w:val="00EB130F"/>
    <w:rsid w:val="00EB171C"/>
    <w:rsid w:val="00EB20BA"/>
    <w:rsid w:val="00EB2A33"/>
    <w:rsid w:val="00EB39ED"/>
    <w:rsid w:val="00EB39EE"/>
    <w:rsid w:val="00EB3D72"/>
    <w:rsid w:val="00EB41B7"/>
    <w:rsid w:val="00EB48C2"/>
    <w:rsid w:val="00EB4F51"/>
    <w:rsid w:val="00EC00DF"/>
    <w:rsid w:val="00EC029A"/>
    <w:rsid w:val="00EC09B1"/>
    <w:rsid w:val="00EC14DA"/>
    <w:rsid w:val="00EC248D"/>
    <w:rsid w:val="00EC27D0"/>
    <w:rsid w:val="00EC391B"/>
    <w:rsid w:val="00EC3932"/>
    <w:rsid w:val="00EC3A31"/>
    <w:rsid w:val="00EC45DC"/>
    <w:rsid w:val="00EC4B9A"/>
    <w:rsid w:val="00EC4C17"/>
    <w:rsid w:val="00EC5266"/>
    <w:rsid w:val="00EC57EA"/>
    <w:rsid w:val="00EC64E8"/>
    <w:rsid w:val="00EC77B4"/>
    <w:rsid w:val="00EC7A74"/>
    <w:rsid w:val="00EC7F83"/>
    <w:rsid w:val="00ED12B9"/>
    <w:rsid w:val="00ED195B"/>
    <w:rsid w:val="00ED1CDB"/>
    <w:rsid w:val="00ED31BE"/>
    <w:rsid w:val="00ED56EE"/>
    <w:rsid w:val="00ED56FA"/>
    <w:rsid w:val="00ED59C1"/>
    <w:rsid w:val="00ED61C6"/>
    <w:rsid w:val="00ED63B3"/>
    <w:rsid w:val="00EE04C7"/>
    <w:rsid w:val="00EE12E9"/>
    <w:rsid w:val="00EE3062"/>
    <w:rsid w:val="00EE36F6"/>
    <w:rsid w:val="00EE392D"/>
    <w:rsid w:val="00EE47D4"/>
    <w:rsid w:val="00EE4A01"/>
    <w:rsid w:val="00EE6314"/>
    <w:rsid w:val="00EE6C5F"/>
    <w:rsid w:val="00EE6C88"/>
    <w:rsid w:val="00EF0ACB"/>
    <w:rsid w:val="00EF22F2"/>
    <w:rsid w:val="00EF232D"/>
    <w:rsid w:val="00EF33EE"/>
    <w:rsid w:val="00EF37AD"/>
    <w:rsid w:val="00EF4548"/>
    <w:rsid w:val="00EF4779"/>
    <w:rsid w:val="00EF4A60"/>
    <w:rsid w:val="00EF4DE1"/>
    <w:rsid w:val="00EF4F6D"/>
    <w:rsid w:val="00EF51EE"/>
    <w:rsid w:val="00EF57DC"/>
    <w:rsid w:val="00EF6E85"/>
    <w:rsid w:val="00F0042A"/>
    <w:rsid w:val="00F00AC7"/>
    <w:rsid w:val="00F00E46"/>
    <w:rsid w:val="00F01086"/>
    <w:rsid w:val="00F02588"/>
    <w:rsid w:val="00F028CB"/>
    <w:rsid w:val="00F02DDE"/>
    <w:rsid w:val="00F0304F"/>
    <w:rsid w:val="00F03DB2"/>
    <w:rsid w:val="00F06249"/>
    <w:rsid w:val="00F11382"/>
    <w:rsid w:val="00F11D5F"/>
    <w:rsid w:val="00F120AB"/>
    <w:rsid w:val="00F1227D"/>
    <w:rsid w:val="00F12861"/>
    <w:rsid w:val="00F130BC"/>
    <w:rsid w:val="00F13163"/>
    <w:rsid w:val="00F136BB"/>
    <w:rsid w:val="00F13A44"/>
    <w:rsid w:val="00F1422F"/>
    <w:rsid w:val="00F14F95"/>
    <w:rsid w:val="00F166CA"/>
    <w:rsid w:val="00F1680B"/>
    <w:rsid w:val="00F16FAA"/>
    <w:rsid w:val="00F20591"/>
    <w:rsid w:val="00F226BC"/>
    <w:rsid w:val="00F226ED"/>
    <w:rsid w:val="00F2396C"/>
    <w:rsid w:val="00F2436F"/>
    <w:rsid w:val="00F2685B"/>
    <w:rsid w:val="00F26D87"/>
    <w:rsid w:val="00F26FBC"/>
    <w:rsid w:val="00F27120"/>
    <w:rsid w:val="00F27330"/>
    <w:rsid w:val="00F277FC"/>
    <w:rsid w:val="00F306CF"/>
    <w:rsid w:val="00F30A07"/>
    <w:rsid w:val="00F30B38"/>
    <w:rsid w:val="00F30C89"/>
    <w:rsid w:val="00F30CCF"/>
    <w:rsid w:val="00F313FB"/>
    <w:rsid w:val="00F31E00"/>
    <w:rsid w:val="00F322A8"/>
    <w:rsid w:val="00F32C6D"/>
    <w:rsid w:val="00F34765"/>
    <w:rsid w:val="00F365B6"/>
    <w:rsid w:val="00F36689"/>
    <w:rsid w:val="00F36CC4"/>
    <w:rsid w:val="00F373A4"/>
    <w:rsid w:val="00F37529"/>
    <w:rsid w:val="00F425BC"/>
    <w:rsid w:val="00F4377F"/>
    <w:rsid w:val="00F440CE"/>
    <w:rsid w:val="00F44184"/>
    <w:rsid w:val="00F44249"/>
    <w:rsid w:val="00F443D1"/>
    <w:rsid w:val="00F44435"/>
    <w:rsid w:val="00F45B9F"/>
    <w:rsid w:val="00F47CD9"/>
    <w:rsid w:val="00F50F63"/>
    <w:rsid w:val="00F5327F"/>
    <w:rsid w:val="00F53330"/>
    <w:rsid w:val="00F557C2"/>
    <w:rsid w:val="00F55AA9"/>
    <w:rsid w:val="00F56172"/>
    <w:rsid w:val="00F56AC6"/>
    <w:rsid w:val="00F57AD5"/>
    <w:rsid w:val="00F57ED3"/>
    <w:rsid w:val="00F60624"/>
    <w:rsid w:val="00F60B7B"/>
    <w:rsid w:val="00F622ED"/>
    <w:rsid w:val="00F62816"/>
    <w:rsid w:val="00F62998"/>
    <w:rsid w:val="00F63633"/>
    <w:rsid w:val="00F66845"/>
    <w:rsid w:val="00F669F7"/>
    <w:rsid w:val="00F67A9A"/>
    <w:rsid w:val="00F67B1E"/>
    <w:rsid w:val="00F67DE6"/>
    <w:rsid w:val="00F715AC"/>
    <w:rsid w:val="00F71DFE"/>
    <w:rsid w:val="00F72025"/>
    <w:rsid w:val="00F72470"/>
    <w:rsid w:val="00F7308E"/>
    <w:rsid w:val="00F73714"/>
    <w:rsid w:val="00F73B30"/>
    <w:rsid w:val="00F747FA"/>
    <w:rsid w:val="00F74EED"/>
    <w:rsid w:val="00F75C12"/>
    <w:rsid w:val="00F76A41"/>
    <w:rsid w:val="00F81055"/>
    <w:rsid w:val="00F82D6A"/>
    <w:rsid w:val="00F831B9"/>
    <w:rsid w:val="00F84FC9"/>
    <w:rsid w:val="00F8520F"/>
    <w:rsid w:val="00F85300"/>
    <w:rsid w:val="00F85731"/>
    <w:rsid w:val="00F85836"/>
    <w:rsid w:val="00F8624C"/>
    <w:rsid w:val="00F865CD"/>
    <w:rsid w:val="00F866CB"/>
    <w:rsid w:val="00F86C9C"/>
    <w:rsid w:val="00F90A0E"/>
    <w:rsid w:val="00F90F94"/>
    <w:rsid w:val="00F9202E"/>
    <w:rsid w:val="00F9388A"/>
    <w:rsid w:val="00F94BDB"/>
    <w:rsid w:val="00F9578E"/>
    <w:rsid w:val="00F9641F"/>
    <w:rsid w:val="00F96538"/>
    <w:rsid w:val="00F96B4D"/>
    <w:rsid w:val="00F9771B"/>
    <w:rsid w:val="00FA3ABA"/>
    <w:rsid w:val="00FA3E6A"/>
    <w:rsid w:val="00FA4757"/>
    <w:rsid w:val="00FA55D2"/>
    <w:rsid w:val="00FA595F"/>
    <w:rsid w:val="00FA677A"/>
    <w:rsid w:val="00FA7982"/>
    <w:rsid w:val="00FB0019"/>
    <w:rsid w:val="00FB1A0D"/>
    <w:rsid w:val="00FB21BD"/>
    <w:rsid w:val="00FB22C6"/>
    <w:rsid w:val="00FB2C9D"/>
    <w:rsid w:val="00FB43E3"/>
    <w:rsid w:val="00FB44B6"/>
    <w:rsid w:val="00FB4D4E"/>
    <w:rsid w:val="00FB4EBC"/>
    <w:rsid w:val="00FB563D"/>
    <w:rsid w:val="00FB5762"/>
    <w:rsid w:val="00FB743B"/>
    <w:rsid w:val="00FC27D4"/>
    <w:rsid w:val="00FC2A6F"/>
    <w:rsid w:val="00FC2C58"/>
    <w:rsid w:val="00FC434E"/>
    <w:rsid w:val="00FC68FB"/>
    <w:rsid w:val="00FC6C2D"/>
    <w:rsid w:val="00FC7187"/>
    <w:rsid w:val="00FC74F9"/>
    <w:rsid w:val="00FC7628"/>
    <w:rsid w:val="00FC7F28"/>
    <w:rsid w:val="00FD1F2E"/>
    <w:rsid w:val="00FD31A0"/>
    <w:rsid w:val="00FD34EB"/>
    <w:rsid w:val="00FD352D"/>
    <w:rsid w:val="00FD3740"/>
    <w:rsid w:val="00FD5FFC"/>
    <w:rsid w:val="00FD624E"/>
    <w:rsid w:val="00FD794F"/>
    <w:rsid w:val="00FE0C22"/>
    <w:rsid w:val="00FE11A0"/>
    <w:rsid w:val="00FE1637"/>
    <w:rsid w:val="00FE1B50"/>
    <w:rsid w:val="00FE2423"/>
    <w:rsid w:val="00FE3495"/>
    <w:rsid w:val="00FE3F23"/>
    <w:rsid w:val="00FE4013"/>
    <w:rsid w:val="00FE471B"/>
    <w:rsid w:val="00FE487F"/>
    <w:rsid w:val="00FE5ABA"/>
    <w:rsid w:val="00FE6712"/>
    <w:rsid w:val="00FE7C50"/>
    <w:rsid w:val="00FF185B"/>
    <w:rsid w:val="00FF320C"/>
    <w:rsid w:val="00FF35BA"/>
    <w:rsid w:val="00FF3A72"/>
    <w:rsid w:val="00FF3E8E"/>
    <w:rsid w:val="00FF4BEF"/>
    <w:rsid w:val="00FF5F3B"/>
    <w:rsid w:val="00FF5FB2"/>
    <w:rsid w:val="00FF66DC"/>
    <w:rsid w:val="00FF6DC9"/>
    <w:rsid w:val="00FF728B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99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D2CE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31">
    <w:name w:val="Обычный3"/>
    <w:rsid w:val="002618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2">
    <w:name w:val="Light Grid Accent 2"/>
    <w:basedOn w:val="a1"/>
    <w:uiPriority w:val="62"/>
    <w:rsid w:val="00AC1D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E5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9"/>
    <w:qFormat/>
    <w:rsid w:val="008C7311"/>
    <w:pPr>
      <w:keepNext/>
      <w:keepLines/>
      <w:spacing w:before="200" w:after="0" w:line="276" w:lineRule="auto"/>
      <w:jc w:val="left"/>
      <w:outlineLvl w:val="1"/>
    </w:pPr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2C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8C7311"/>
    <w:pPr>
      <w:keepNext/>
      <w:spacing w:before="60" w:after="0" w:line="240" w:lineRule="auto"/>
      <w:jc w:val="center"/>
      <w:outlineLvl w:val="6"/>
    </w:pPr>
    <w:rPr>
      <w:rFonts w:eastAsia="Times New Roman" w:cs="Times New Roman"/>
      <w:b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C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7311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9"/>
    <w:rsid w:val="008C7311"/>
    <w:rPr>
      <w:rFonts w:ascii="Cambria" w:eastAsia="Times New Roman" w:hAnsi="Cambria" w:cs="Times New Roman"/>
      <w:b/>
      <w:bCs/>
      <w:color w:val="000080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C731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C7311"/>
  </w:style>
  <w:style w:type="paragraph" w:customStyle="1" w:styleId="a7">
    <w:name w:val="Мой стиль"/>
    <w:basedOn w:val="a"/>
    <w:uiPriority w:val="99"/>
    <w:rsid w:val="008C7311"/>
    <w:pPr>
      <w:spacing w:line="240" w:lineRule="auto"/>
    </w:pPr>
    <w:rPr>
      <w:rFonts w:eastAsia="Times New Roman" w:cs="Times New Roman"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8C73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C7311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8C7311"/>
    <w:pPr>
      <w:spacing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b">
    <w:name w:val="header"/>
    <w:basedOn w:val="a"/>
    <w:link w:val="ac"/>
    <w:uiPriority w:val="99"/>
    <w:rsid w:val="008C7311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8C7311"/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uiPriority w:val="99"/>
    <w:rsid w:val="008C731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C73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C7311"/>
    <w:pPr>
      <w:spacing w:after="0" w:line="240" w:lineRule="auto"/>
      <w:jc w:val="center"/>
    </w:pPr>
    <w:rPr>
      <w:rFonts w:eastAsia="Times New Roman" w:cs="Times New Roman"/>
      <w:b/>
      <w:bCs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8C7311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af">
    <w:name w:val="Normal (Web)"/>
    <w:basedOn w:val="a"/>
    <w:uiPriority w:val="99"/>
    <w:rsid w:val="008C731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rsid w:val="008C7311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8C7311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8C7311"/>
    <w:rPr>
      <w:rFonts w:cs="Times New Roman"/>
      <w:vertAlign w:val="superscript"/>
    </w:rPr>
  </w:style>
  <w:style w:type="paragraph" w:styleId="af3">
    <w:name w:val="Title"/>
    <w:basedOn w:val="a"/>
    <w:next w:val="a"/>
    <w:link w:val="af4"/>
    <w:uiPriority w:val="99"/>
    <w:qFormat/>
    <w:rsid w:val="008C7311"/>
    <w:pPr>
      <w:pBdr>
        <w:bottom w:val="single" w:sz="8" w:space="4" w:color="000080"/>
      </w:pBdr>
      <w:spacing w:after="300" w:line="240" w:lineRule="auto"/>
      <w:contextualSpacing/>
      <w:jc w:val="left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8C731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uiPriority w:val="99"/>
    <w:semiHidden/>
    <w:rsid w:val="008C7311"/>
    <w:pPr>
      <w:spacing w:after="120" w:line="480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C7311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uiPriority w:val="99"/>
    <w:rsid w:val="008C73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8C7311"/>
    <w:rPr>
      <w:rFonts w:cs="Times New Roman"/>
    </w:rPr>
  </w:style>
  <w:style w:type="character" w:styleId="af6">
    <w:name w:val="Hyperlink"/>
    <w:basedOn w:val="a0"/>
    <w:uiPriority w:val="99"/>
    <w:unhideWhenUsed/>
    <w:rsid w:val="00797B97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9B48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9B488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">
    <w:name w:val="Medium Grid 1 Accent 4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2">
    <w:name w:val="Medium Grid 1 Accent 2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B488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50">
    <w:name w:val="Medium Grid 2 Accent 5"/>
    <w:basedOn w:val="a1"/>
    <w:uiPriority w:val="68"/>
    <w:rsid w:val="006A2A2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Shading 2 Accent 6"/>
    <w:basedOn w:val="a1"/>
    <w:uiPriority w:val="64"/>
    <w:rsid w:val="006A2A2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List 2 Accent 6"/>
    <w:basedOn w:val="a1"/>
    <w:uiPriority w:val="66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1">
    <w:name w:val="Medium Grid 2 Accent 6"/>
    <w:basedOn w:val="a1"/>
    <w:uiPriority w:val="68"/>
    <w:rsid w:val="00584E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584E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Dark List Accent 6"/>
    <w:basedOn w:val="a1"/>
    <w:uiPriority w:val="70"/>
    <w:rsid w:val="00584E5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60">
    <w:name w:val="Colorful Shading Accent 6"/>
    <w:basedOn w:val="a1"/>
    <w:uiPriority w:val="71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List Accent 6"/>
    <w:basedOn w:val="a1"/>
    <w:uiPriority w:val="72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2">
    <w:name w:val="Colorful Grid Accent 6"/>
    <w:basedOn w:val="a1"/>
    <w:uiPriority w:val="73"/>
    <w:rsid w:val="00584E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60">
    <w:name w:val="Medium Shading 1 Accent 6"/>
    <w:basedOn w:val="a1"/>
    <w:uiPriority w:val="63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3">
    <w:name w:val="Light List Accent 6"/>
    <w:basedOn w:val="a1"/>
    <w:uiPriority w:val="61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4">
    <w:name w:val="Light Grid Accent 6"/>
    <w:basedOn w:val="a1"/>
    <w:uiPriority w:val="62"/>
    <w:rsid w:val="009A7F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7">
    <w:name w:val="Subtitle"/>
    <w:basedOn w:val="a"/>
    <w:next w:val="a"/>
    <w:link w:val="af8"/>
    <w:uiPriority w:val="11"/>
    <w:qFormat/>
    <w:rsid w:val="00266339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66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30">
    <w:name w:val="Light Grid Accent 3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1">
    <w:name w:val="Medium List 2 Accent 5"/>
    <w:basedOn w:val="a1"/>
    <w:uiPriority w:val="66"/>
    <w:rsid w:val="00F31E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Grid Accent 1"/>
    <w:basedOn w:val="a1"/>
    <w:uiPriority w:val="62"/>
    <w:rsid w:val="00F31E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9">
    <w:name w:val="Placeholder Text"/>
    <w:basedOn w:val="a0"/>
    <w:uiPriority w:val="99"/>
    <w:semiHidden/>
    <w:rsid w:val="00381DD3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D2CE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31">
    <w:name w:val="Обычный3"/>
    <w:rsid w:val="002618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2">
    <w:name w:val="Light Grid Accent 2"/>
    <w:basedOn w:val="a1"/>
    <w:uiPriority w:val="62"/>
    <w:rsid w:val="00AC1D9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header" Target="header2.xml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91;&#1073;&#1088;&#1080;&#1082;&#1086;&#1074;&#1072;%20&#1057;&#1074;&#1077;&#1090;&#1083;&#1072;&#1085;&#1072;\Desktop\&#1060;&#1080;&#1083;&#1080;&#1087;&#1087;&#1086;&#1074;&#1072;%20&#1053;&#1072;&#1076;&#1077;&#1078;&#1076;&#1072;%20&#1042;&#1072;&#1083;&#1077;&#1088;&#1100;&#1077;&#1074;&#1085;&#1072;\&#1052;&#1086;&#1085;&#1080;&#1090;&#1086;&#1088;&#1080;&#1085;&#1075;%20&#1057;&#1069;&#1056;%20&#1052;&#1054;\2020\2019\&#1057;&#1069;&#1056;%202019%20&#1087;&#1086;%20&#1086;&#1090;&#1085;&#1086;&#1096;.%20&#1082;%202018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39504916489644E-2"/>
          <c:y val="0.15849856596468304"/>
          <c:w val="0.91335292296863535"/>
          <c:h val="0.53872978179688491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(фин)'!$B$21</c:f>
              <c:strCache>
                <c:ptCount val="1"/>
                <c:pt idx="0">
                  <c:v>за 2018 год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5.6346937675444596E-2"/>
                  <c:y val="4.0431717335781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875772182469587E-3"/>
                  <c:y val="-3.40524538669991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900881211141385E-2"/>
                  <c:y val="-6.4515582304964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473159486242926E-2"/>
                  <c:y val="5.5760716659855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94372423979322E-2"/>
                  <c:y val="-3.5874422572450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(фин)'!$B$22:$B$26</c:f>
              <c:numCache>
                <c:formatCode>General</c:formatCode>
                <c:ptCount val="5"/>
                <c:pt idx="0">
                  <c:v>94.7</c:v>
                </c:pt>
                <c:pt idx="1">
                  <c:v>100.1</c:v>
                </c:pt>
                <c:pt idx="2">
                  <c:v>95.2</c:v>
                </c:pt>
                <c:pt idx="3">
                  <c:v>99.1</c:v>
                </c:pt>
                <c:pt idx="4">
                  <c:v>99.5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(фин)'!$C$21</c:f>
              <c:strCache>
                <c:ptCount val="1"/>
                <c:pt idx="0">
                  <c:v>за 2019 год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0"/>
              <c:layout>
                <c:manualLayout>
                  <c:x val="-8.9411295071005856E-2"/>
                  <c:y val="2.1562316979241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6975340059678852E-2"/>
                  <c:y val="-2.6282957860264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136482939632546"/>
                  <c:y val="-7.88295710699617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1816603633207267E-2"/>
                  <c:y val="-6.2594680189652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602576769158609E-2"/>
                  <c:y val="4.7526548014289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(фин)'!$C$22:$C$26</c:f>
              <c:numCache>
                <c:formatCode>General</c:formatCode>
                <c:ptCount val="5"/>
                <c:pt idx="0">
                  <c:v>91.4</c:v>
                </c:pt>
                <c:pt idx="1">
                  <c:v>100.2</c:v>
                </c:pt>
                <c:pt idx="2">
                  <c:v>105.4</c:v>
                </c:pt>
                <c:pt idx="3">
                  <c:v>99.8</c:v>
                </c:pt>
                <c:pt idx="4">
                  <c:v>99.4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(фин)'!$D$21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layout>
                <c:manualLayout>
                  <c:x val="-0.79447860847086216"/>
                  <c:y val="-7.166668468266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 b="1"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(фин)'!$A$22:$A$26</c:f>
              <c:strCache>
                <c:ptCount val="5"/>
                <c:pt idx="0">
                  <c:v>г. Абакан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(фин)'!$D$22:$D$26</c:f>
              <c:numCache>
                <c:formatCode>0.0</c:formatCode>
                <c:ptCount val="5"/>
                <c:pt idx="0">
                  <c:v>95.1</c:v>
                </c:pt>
                <c:pt idx="1">
                  <c:v>95.1</c:v>
                </c:pt>
                <c:pt idx="2">
                  <c:v>95.1</c:v>
                </c:pt>
                <c:pt idx="3">
                  <c:v>95.1</c:v>
                </c:pt>
                <c:pt idx="4">
                  <c:v>95.1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702080"/>
        <c:axId val="162703616"/>
      </c:lineChart>
      <c:catAx>
        <c:axId val="162702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62703616"/>
        <c:crosses val="autoZero"/>
        <c:auto val="1"/>
        <c:lblAlgn val="ctr"/>
        <c:lblOffset val="100"/>
        <c:noMultiLvlLbl val="0"/>
      </c:catAx>
      <c:valAx>
        <c:axId val="162703616"/>
        <c:scaling>
          <c:orientation val="minMax"/>
          <c:max val="106"/>
          <c:min val="9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2702080"/>
        <c:crosses val="autoZero"/>
        <c:crossBetween val="between"/>
      </c:valAx>
      <c:spPr>
        <a:noFill/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997501111083157E-2"/>
          <c:y val="8.5860478467215423E-2"/>
          <c:w val="0.91057331891021609"/>
          <c:h val="0.38946256111992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(фин)'!$B$84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-1.5138837982330859E-2"/>
                  <c:y val="1.6530408946406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20545746388443E-3"/>
                  <c:y val="4.4004400440044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779720426320512E-2"/>
                  <c:y val="1.1571924073225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499893594381786E-4"/>
                  <c:y val="3.37448862493791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2442363623465982E-3"/>
                  <c:y val="-1.2574957799068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0462540497044611E-3"/>
                  <c:y val="-1.0318654612617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6339646733347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(фин)'!$B$85:$B$92</c:f>
              <c:numCache>
                <c:formatCode>General</c:formatCode>
                <c:ptCount val="8"/>
                <c:pt idx="0">
                  <c:v>107.5</c:v>
                </c:pt>
                <c:pt idx="1">
                  <c:v>102.6</c:v>
                </c:pt>
                <c:pt idx="2">
                  <c:v>102.2</c:v>
                </c:pt>
                <c:pt idx="3">
                  <c:v>99.4</c:v>
                </c:pt>
                <c:pt idx="4">
                  <c:v>97.3</c:v>
                </c:pt>
                <c:pt idx="5">
                  <c:v>94.8</c:v>
                </c:pt>
                <c:pt idx="6">
                  <c:v>102.6</c:v>
                </c:pt>
                <c:pt idx="7">
                  <c:v>98.1</c:v>
                </c:pt>
              </c:numCache>
            </c:numRef>
          </c:val>
        </c:ser>
        <c:ser>
          <c:idx val="1"/>
          <c:order val="1"/>
          <c:tx>
            <c:strRef>
              <c:f>'ГРАФИКИ (фин)'!$C$84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8.7182922359424174E-3"/>
                  <c:y val="4.94720338175549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79552715654952E-2"/>
                  <c:y val="-3.9215686274509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79552715654952E-2"/>
                  <c:y val="1.1594256600277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60821451372632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649641767752004E-2"/>
                  <c:y val="-1.24338122554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2442882841891953E-3"/>
                  <c:y val="3.3686400311072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0303610697311477E-3"/>
                  <c:y val="1.5154273665032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3897763578274758E-3"/>
                  <c:y val="1.932367149758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(фин)'!$C$85:$C$92</c:f>
              <c:numCache>
                <c:formatCode>General</c:formatCode>
                <c:ptCount val="8"/>
                <c:pt idx="0">
                  <c:v>112.6</c:v>
                </c:pt>
                <c:pt idx="1">
                  <c:v>104.2</c:v>
                </c:pt>
                <c:pt idx="2">
                  <c:v>104.8</c:v>
                </c:pt>
                <c:pt idx="3">
                  <c:v>87.7</c:v>
                </c:pt>
                <c:pt idx="4">
                  <c:v>97.6</c:v>
                </c:pt>
                <c:pt idx="5">
                  <c:v>91.8</c:v>
                </c:pt>
                <c:pt idx="6">
                  <c:v>101</c:v>
                </c:pt>
                <c:pt idx="7">
                  <c:v>93.2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889280"/>
        <c:axId val="199890816"/>
      </c:barChart>
      <c:lineChart>
        <c:grouping val="standard"/>
        <c:varyColors val="0"/>
        <c:ser>
          <c:idx val="2"/>
          <c:order val="2"/>
          <c:tx>
            <c:strRef>
              <c:f>'ГРАФИКИ (фин)'!$D$84</c:f>
              <c:strCache>
                <c:ptCount val="1"/>
                <c:pt idx="0">
                  <c:v>Среднее значение </c:v>
                </c:pt>
              </c:strCache>
            </c:strRef>
          </c:tx>
          <c:spPr>
            <a:ln>
              <a:solidFill>
                <a:srgbClr val="487246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6345639379347246E-2"/>
                  <c:y val="0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b="1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(фин)'!$A$85:$A$92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(фин)'!$D$85:$D$92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889280"/>
        <c:axId val="199890816"/>
      </c:lineChart>
      <c:catAx>
        <c:axId val="19988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199890816"/>
        <c:crosses val="autoZero"/>
        <c:auto val="1"/>
        <c:lblAlgn val="ctr"/>
        <c:lblOffset val="100"/>
        <c:noMultiLvlLbl val="0"/>
      </c:catAx>
      <c:valAx>
        <c:axId val="199890816"/>
        <c:scaling>
          <c:orientation val="minMax"/>
          <c:min val="6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99889280"/>
        <c:crosses val="autoZero"/>
        <c:crossBetween val="between"/>
        <c:majorUnit val="20"/>
      </c:valAx>
      <c:spPr>
        <a:solidFill>
          <a:sysClr val="window" lastClr="FFFFFF"/>
        </a:solidFill>
      </c:spPr>
    </c:plotArea>
    <c:legend>
      <c:legendPos val="b"/>
      <c:layout>
        <c:manualLayout>
          <c:xMode val="edge"/>
          <c:yMode val="edge"/>
          <c:x val="9.3839447931325551E-2"/>
          <c:y val="0.92031732040546499"/>
          <c:w val="0.82087627563823173"/>
          <c:h val="7.9682633749882034E-2"/>
        </c:manualLayout>
      </c:layout>
      <c:overlay val="0"/>
    </c:legend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546981004576753E-2"/>
          <c:y val="4.8547885002746746E-2"/>
          <c:w val="0.90638613288632575"/>
          <c:h val="0.46638449263609488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(фин)'!$B$28</c:f>
              <c:strCache>
                <c:ptCount val="1"/>
                <c:pt idx="0">
                  <c:v>за 2018 год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5.5741350303048602E-2"/>
                  <c:y val="-5.0909217743130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904118206073048E-2"/>
                  <c:y val="3.4732867693863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413927062722155E-2"/>
                  <c:y val="-6.1939955873302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363449471309898E-2"/>
                  <c:y val="-6.9188345081380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5674464193951108E-2"/>
                  <c:y val="4.949466316710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133772218194995E-2"/>
                  <c:y val="3.292925593603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904118206073048E-2"/>
                  <c:y val="3.3535258092738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215156169707218E-2"/>
                  <c:y val="3.9162546542147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(фин)'!$B$29:$B$36</c:f>
              <c:numCache>
                <c:formatCode>General</c:formatCode>
                <c:ptCount val="8"/>
                <c:pt idx="0">
                  <c:v>103.2</c:v>
                </c:pt>
                <c:pt idx="1">
                  <c:v>101.6</c:v>
                </c:pt>
                <c:pt idx="2" formatCode="0.0">
                  <c:v>101</c:v>
                </c:pt>
                <c:pt idx="3">
                  <c:v>101.9</c:v>
                </c:pt>
                <c:pt idx="4">
                  <c:v>100.2</c:v>
                </c:pt>
                <c:pt idx="5" formatCode="0.0">
                  <c:v>100.26</c:v>
                </c:pt>
                <c:pt idx="6" formatCode="0.0">
                  <c:v>101.31</c:v>
                </c:pt>
                <c:pt idx="7">
                  <c:v>101.3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(фин)'!$C$28</c:f>
              <c:strCache>
                <c:ptCount val="1"/>
                <c:pt idx="0">
                  <c:v>за 2019 год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0"/>
              <c:layout>
                <c:manualLayout>
                  <c:x val="-8.026754443638999E-2"/>
                  <c:y val="-3.6363604549431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822734254560829E-2"/>
                  <c:y val="-5.3939457567804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032778324661941E-2"/>
                  <c:y val="4.473026474622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305249714341851E-2"/>
                  <c:y val="4.315505887048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593080242438882E-2"/>
                  <c:y val="-5.4018363983571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593080242438882E-2"/>
                  <c:y val="-5.8556168850986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4593080242438882E-2"/>
                  <c:y val="-5.631356080489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3444810181829161E-2"/>
                  <c:y val="-5.393945756780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(фин)'!$C$29:$C$36</c:f>
              <c:numCache>
                <c:formatCode>General</c:formatCode>
                <c:ptCount val="8"/>
                <c:pt idx="0">
                  <c:v>110.9</c:v>
                </c:pt>
                <c:pt idx="1">
                  <c:v>102.5</c:v>
                </c:pt>
                <c:pt idx="2" formatCode="0.0">
                  <c:v>100.1</c:v>
                </c:pt>
                <c:pt idx="3">
                  <c:v>100.5</c:v>
                </c:pt>
                <c:pt idx="4">
                  <c:v>101.5</c:v>
                </c:pt>
                <c:pt idx="5" formatCode="0.0">
                  <c:v>101.2</c:v>
                </c:pt>
                <c:pt idx="6" formatCode="0.0">
                  <c:v>102</c:v>
                </c:pt>
                <c:pt idx="7">
                  <c:v>102.9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(фин)'!$D$28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7.5808236412146096E-2"/>
                  <c:y val="2.2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 b="1"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(фин)'!$A$29:$A$36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(фин)'!$D$29:$D$36</c:f>
              <c:numCache>
                <c:formatCode>General</c:formatCode>
                <c:ptCount val="8"/>
                <c:pt idx="0">
                  <c:v>103.1</c:v>
                </c:pt>
                <c:pt idx="1">
                  <c:v>103.1</c:v>
                </c:pt>
                <c:pt idx="2">
                  <c:v>103.1</c:v>
                </c:pt>
                <c:pt idx="3">
                  <c:v>103.1</c:v>
                </c:pt>
                <c:pt idx="4">
                  <c:v>103.1</c:v>
                </c:pt>
                <c:pt idx="5">
                  <c:v>103.1</c:v>
                </c:pt>
                <c:pt idx="6">
                  <c:v>103.1</c:v>
                </c:pt>
                <c:pt idx="7">
                  <c:v>103.1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3177600"/>
        <c:axId val="163179136"/>
      </c:lineChart>
      <c:catAx>
        <c:axId val="163177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63179136"/>
        <c:crosses val="autoZero"/>
        <c:auto val="1"/>
        <c:lblAlgn val="ctr"/>
        <c:lblOffset val="100"/>
        <c:noMultiLvlLbl val="0"/>
      </c:catAx>
      <c:valAx>
        <c:axId val="163179136"/>
        <c:scaling>
          <c:orientation val="minMax"/>
          <c:min val="9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177600"/>
        <c:crosses val="autoZero"/>
        <c:crossBetween val="between"/>
        <c:majorUnit val="5"/>
      </c:valAx>
      <c:spPr>
        <a:noFill/>
      </c:spPr>
    </c:plotArea>
    <c:legend>
      <c:legendPos val="b"/>
      <c:layout>
        <c:manualLayout>
          <c:xMode val="edge"/>
          <c:yMode val="edge"/>
          <c:x val="0.17812877785881159"/>
          <c:y val="0.91989850105946058"/>
          <c:w val="0.64374244428237681"/>
          <c:h val="8.010149894053940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449875474830823E-2"/>
          <c:y val="6.9882877543532868E-2"/>
          <c:w val="0.95255012452516918"/>
          <c:h val="0.6677344691344187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(фин)'!$C$39</c:f>
              <c:strCache>
                <c:ptCount val="1"/>
                <c:pt idx="0">
                  <c:v>за 2019 год</c:v>
                </c:pt>
              </c:strCache>
            </c:strRef>
          </c:tx>
          <c:spPr>
            <a:ln>
              <a:solidFill>
                <a:srgbClr val="C0504D"/>
              </a:solidFill>
            </a:ln>
          </c:spPr>
          <c:marker>
            <c:spPr>
              <a:solidFill>
                <a:srgbClr val="C0504D"/>
              </a:solidFill>
              <a:ln>
                <a:solidFill>
                  <a:srgbClr val="C0504D"/>
                </a:solidFill>
              </a:ln>
            </c:spPr>
          </c:marker>
          <c:dLbls>
            <c:dLbl>
              <c:idx val="0"/>
              <c:layout>
                <c:manualLayout>
                  <c:x val="-4.4619422572178477E-2"/>
                  <c:y val="-5.3763723083001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657800648934632E-2"/>
                  <c:y val="-4.1177997911551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782695518205779E-2"/>
                  <c:y val="-3.5338097947746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120734908136482E-2"/>
                  <c:y val="-6.891485338526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7226463104325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rgbClr val="C0504D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(фин)'!$A$40:$A$44</c:f>
              <c:strCache>
                <c:ptCount val="5"/>
                <c:pt idx="0">
                  <c:v>г. Абака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(фин)'!$C$40:$C$44</c:f>
              <c:numCache>
                <c:formatCode>0.0</c:formatCode>
                <c:ptCount val="5"/>
                <c:pt idx="0" formatCode="General">
                  <c:v>17</c:v>
                </c:pt>
                <c:pt idx="1">
                  <c:v>16.899999999999999</c:v>
                </c:pt>
                <c:pt idx="2" formatCode="General">
                  <c:v>8.1</c:v>
                </c:pt>
                <c:pt idx="3" formatCode="General">
                  <c:v>9.6999999999999993</c:v>
                </c:pt>
                <c:pt idx="4" formatCode="General">
                  <c:v>16.600000000000001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(фин)'!$B$39</c:f>
              <c:strCache>
                <c:ptCount val="1"/>
                <c:pt idx="0">
                  <c:v>за 2018 год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3.0534351145038167E-2"/>
                  <c:y val="-3.787878787878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34605597964376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997375328083989E-2"/>
                  <c:y val="-5.3763440860215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320519974373285E-2"/>
                  <c:y val="-3.8001298224818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(фин)'!$A$40:$A$44</c:f>
              <c:strCache>
                <c:ptCount val="5"/>
                <c:pt idx="0">
                  <c:v>г. Абака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(фин)'!$B$40:$B$44</c:f>
              <c:numCache>
                <c:formatCode>0.0</c:formatCode>
                <c:ptCount val="5"/>
                <c:pt idx="0" formatCode="General">
                  <c:v>9.6999999999999993</c:v>
                </c:pt>
                <c:pt idx="1">
                  <c:v>10.9</c:v>
                </c:pt>
                <c:pt idx="2">
                  <c:v>3.2</c:v>
                </c:pt>
                <c:pt idx="3">
                  <c:v>3.7</c:v>
                </c:pt>
                <c:pt idx="4">
                  <c:v>6.4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(фин)'!$D$39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Pt>
            <c:idx val="0"/>
            <c:bubble3D val="0"/>
          </c:dPt>
          <c:dLbls>
            <c:dLbl>
              <c:idx val="0"/>
              <c:layout>
                <c:manualLayout>
                  <c:x val="-9.7413354826709653E-2"/>
                  <c:y val="-8.147771851099258E-4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487246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(фин)'!$A$40:$A$44</c:f>
              <c:strCache>
                <c:ptCount val="5"/>
                <c:pt idx="0">
                  <c:v>г. Абака</c:v>
                </c:pt>
                <c:pt idx="1">
                  <c:v>г. Абаза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Черногорск</c:v>
                </c:pt>
              </c:strCache>
            </c:strRef>
          </c:cat>
          <c:val>
            <c:numRef>
              <c:f>'ГРАФИКИ (фин)'!$D$40:$D$44</c:f>
              <c:numCache>
                <c:formatCode>0.0</c:formatCode>
                <c:ptCount val="5"/>
                <c:pt idx="0">
                  <c:v>15.2</c:v>
                </c:pt>
                <c:pt idx="1">
                  <c:v>15.2</c:v>
                </c:pt>
                <c:pt idx="2">
                  <c:v>15.2</c:v>
                </c:pt>
                <c:pt idx="3">
                  <c:v>15.2</c:v>
                </c:pt>
                <c:pt idx="4">
                  <c:v>15.2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476800"/>
        <c:axId val="164478336"/>
      </c:lineChart>
      <c:catAx>
        <c:axId val="16447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64478336"/>
        <c:crosses val="autoZero"/>
        <c:auto val="1"/>
        <c:lblAlgn val="ctr"/>
        <c:lblOffset val="100"/>
        <c:noMultiLvlLbl val="0"/>
      </c:catAx>
      <c:valAx>
        <c:axId val="16447833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4476800"/>
        <c:crosses val="autoZero"/>
        <c:crossBetween val="between"/>
      </c:valAx>
      <c:spPr>
        <a:solidFill>
          <a:schemeClr val="bg1"/>
        </a:solidFill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/>
    </a:solidFill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732939632545929E-2"/>
          <c:y val="2.8355274488326754E-2"/>
          <c:w val="0.88071150481189853"/>
          <c:h val="0.46692679163136103"/>
        </c:manualLayout>
      </c:layout>
      <c:lineChart>
        <c:grouping val="standard"/>
        <c:varyColors val="0"/>
        <c:ser>
          <c:idx val="0"/>
          <c:order val="0"/>
          <c:tx>
            <c:strRef>
              <c:f>'ГРАФИКИ (фин)'!$B$46</c:f>
              <c:strCache>
                <c:ptCount val="1"/>
                <c:pt idx="0">
                  <c:v>за 2018 год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2.731621007437968E-2"/>
                  <c:y val="4.1089584196712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111111111111108E-2"/>
                  <c:y val="-3.674044681422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5555555555555552E-2"/>
                  <c:y val="-3.7719773217324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05"/>
                  <c:y val="-4.7249054498108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2777777777777778E-2"/>
                  <c:y val="2.799650043744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7222222222222221E-2"/>
                  <c:y val="-3.7719773217324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777749826000186E-2"/>
                  <c:y val="3.504178753971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111111111111212E-2"/>
                  <c:y val="-3.4995625546806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(фин)'!$B$47:$B$54</c:f>
              <c:numCache>
                <c:formatCode>General</c:formatCode>
                <c:ptCount val="8"/>
                <c:pt idx="0">
                  <c:v>4.5999999999999996</c:v>
                </c:pt>
                <c:pt idx="1">
                  <c:v>6</c:v>
                </c:pt>
                <c:pt idx="2">
                  <c:v>5.7</c:v>
                </c:pt>
                <c:pt idx="3">
                  <c:v>10.199999999999999</c:v>
                </c:pt>
                <c:pt idx="4">
                  <c:v>10.4</c:v>
                </c:pt>
                <c:pt idx="5">
                  <c:v>12.9</c:v>
                </c:pt>
                <c:pt idx="6">
                  <c:v>6.5</c:v>
                </c:pt>
                <c:pt idx="7">
                  <c:v>11.4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'ГРАФИКИ (фин)'!$C$46</c:f>
              <c:strCache>
                <c:ptCount val="1"/>
                <c:pt idx="0">
                  <c:v>за 2019 год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0"/>
              <c:layout>
                <c:manualLayout>
                  <c:x val="-1.8983002524045497E-2"/>
                  <c:y val="-4.7091794446746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4444444444444446E-2"/>
                  <c:y val="3.0332389553668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276974164171971E-2"/>
                  <c:y val="3.5091172813924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777749826000186E-2"/>
                  <c:y val="-4.7091449095178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666666666666664E-2"/>
                  <c:y val="-5.7941458105138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111111111111112E-2"/>
                  <c:y val="-2.5854108956602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8513161094479807E-3"/>
                  <c:y val="-8.06154164939904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4220942030808453E-3"/>
                  <c:y val="-2.816238430722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(фин)'!$C$47:$C$54</c:f>
              <c:numCache>
                <c:formatCode>0.0</c:formatCode>
                <c:ptCount val="8"/>
                <c:pt idx="0" formatCode="General">
                  <c:v>5.6</c:v>
                </c:pt>
                <c:pt idx="1">
                  <c:v>5.8</c:v>
                </c:pt>
                <c:pt idx="2" formatCode="General">
                  <c:v>3.5</c:v>
                </c:pt>
                <c:pt idx="3" formatCode="General">
                  <c:v>26.4</c:v>
                </c:pt>
                <c:pt idx="4" formatCode="General">
                  <c:v>11.6</c:v>
                </c:pt>
                <c:pt idx="5" formatCode="General">
                  <c:v>17.8</c:v>
                </c:pt>
                <c:pt idx="6" formatCode="General">
                  <c:v>9.1</c:v>
                </c:pt>
                <c:pt idx="7" formatCode="General">
                  <c:v>19.7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'ГРАФИКИ (фин)'!$D$46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Pt>
            <c:idx val="0"/>
            <c:bubble3D val="0"/>
          </c:dPt>
          <c:dLbls>
            <c:dLbl>
              <c:idx val="0"/>
              <c:layout>
                <c:manualLayout>
                  <c:x val="-0.05"/>
                  <c:y val="-4.8993875765529306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487246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</c:spPr>
            <c:txPr>
              <a:bodyPr/>
              <a:lstStyle/>
              <a:p>
                <a:pPr>
                  <a:defRPr sz="900"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(фин)'!$A$47:$A$54</c:f>
              <c:strCache>
                <c:ptCount val="8"/>
                <c:pt idx="0">
                  <c:v>Алтайский р-н</c:v>
                </c:pt>
                <c:pt idx="1">
                  <c:v>Аскизский р-н</c:v>
                </c:pt>
                <c:pt idx="2">
                  <c:v>Бейский р-н</c:v>
                </c:pt>
                <c:pt idx="3">
                  <c:v>Боградский р-н</c:v>
                </c:pt>
                <c:pt idx="4">
                  <c:v>Орджоникидзевский р-н</c:v>
                </c:pt>
                <c:pt idx="5">
                  <c:v>Таштыпский р-н</c:v>
                </c:pt>
                <c:pt idx="6">
                  <c:v>Усть-Абаканский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(фин)'!$D$47:$D$54</c:f>
              <c:numCache>
                <c:formatCode>0.0</c:formatCode>
                <c:ptCount val="8"/>
                <c:pt idx="0">
                  <c:v>11.2</c:v>
                </c:pt>
                <c:pt idx="1">
                  <c:v>11.2</c:v>
                </c:pt>
                <c:pt idx="2">
                  <c:v>11.2</c:v>
                </c:pt>
                <c:pt idx="3">
                  <c:v>11.2</c:v>
                </c:pt>
                <c:pt idx="4">
                  <c:v>11.2</c:v>
                </c:pt>
                <c:pt idx="5">
                  <c:v>11.2</c:v>
                </c:pt>
                <c:pt idx="6">
                  <c:v>11.2</c:v>
                </c:pt>
                <c:pt idx="7">
                  <c:v>11.2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846208"/>
        <c:axId val="164909440"/>
      </c:lineChart>
      <c:catAx>
        <c:axId val="164846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64909440"/>
        <c:crosses val="autoZero"/>
        <c:auto val="1"/>
        <c:lblAlgn val="ctr"/>
        <c:lblOffset val="100"/>
        <c:noMultiLvlLbl val="0"/>
      </c:catAx>
      <c:valAx>
        <c:axId val="1649094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4846208"/>
        <c:crosses val="autoZero"/>
        <c:crossBetween val="between"/>
      </c:valAx>
      <c:spPr>
        <a:noFill/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73840769903762"/>
          <c:y val="5.0011316205178721E-2"/>
          <c:w val="0.88000753070423143"/>
          <c:h val="0.593202646701189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(фин)'!$B$2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1.9047619047619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666607418993618E-2"/>
                  <c:y val="1.1396007987375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Черногорск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(фин)'!$B$3:$B$7</c:f>
              <c:numCache>
                <c:formatCode>0.0</c:formatCode>
                <c:ptCount val="5"/>
                <c:pt idx="0">
                  <c:v>76.599999999999994</c:v>
                </c:pt>
                <c:pt idx="1">
                  <c:v>43.7</c:v>
                </c:pt>
                <c:pt idx="2" formatCode="General">
                  <c:v>38.299999999999997</c:v>
                </c:pt>
                <c:pt idx="3">
                  <c:v>28.8</c:v>
                </c:pt>
                <c:pt idx="4" formatCode="General">
                  <c:v>18.3</c:v>
                </c:pt>
              </c:numCache>
            </c:numRef>
          </c:val>
        </c:ser>
        <c:ser>
          <c:idx val="1"/>
          <c:order val="1"/>
          <c:tx>
            <c:strRef>
              <c:f>'ГРАФИКИ (фин)'!$C$2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999944627174819E-2"/>
                  <c:y val="2.8571428571428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09282700421943E-2"/>
                  <c:y val="2.8571428571428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12E-2"/>
                  <c:y val="4.11004057098486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Черногорск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(фин)'!$C$3:$C$7</c:f>
              <c:numCache>
                <c:formatCode>General</c:formatCode>
                <c:ptCount val="5"/>
                <c:pt idx="0">
                  <c:v>58.4</c:v>
                </c:pt>
                <c:pt idx="1">
                  <c:v>46</c:v>
                </c:pt>
                <c:pt idx="2">
                  <c:v>44.1</c:v>
                </c:pt>
                <c:pt idx="3">
                  <c:v>33.200000000000003</c:v>
                </c:pt>
                <c:pt idx="4">
                  <c:v>23.9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281792"/>
        <c:axId val="165283328"/>
      </c:barChart>
      <c:lineChart>
        <c:grouping val="standard"/>
        <c:varyColors val="0"/>
        <c:ser>
          <c:idx val="2"/>
          <c:order val="2"/>
          <c:tx>
            <c:strRef>
              <c:f>'ГРАФИКИ (фин)'!$D$2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Pt>
            <c:idx val="0"/>
            <c:bubble3D val="0"/>
          </c:dPt>
          <c:dPt>
            <c:idx val="4"/>
            <c:bubble3D val="0"/>
          </c:dPt>
          <c:dLbls>
            <c:dLbl>
              <c:idx val="4"/>
              <c:layout>
                <c:manualLayout>
                  <c:x val="-3.3333333333333333E-2"/>
                  <c:y val="-6.0778709266001374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solidFill>
                    <a:schemeClr val="bg1"/>
                  </a:solidFill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487246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accent3"/>
                </a:solidFill>
              </a:ln>
            </c:spPr>
            <c:txPr>
              <a:bodyPr/>
              <a:lstStyle/>
              <a:p>
                <a:pPr>
                  <a:defRPr sz="900" b="1"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(фин)'!$A$3:$A$7</c:f>
              <c:strCache>
                <c:ptCount val="5"/>
                <c:pt idx="0">
                  <c:v>г. Абакан</c:v>
                </c:pt>
                <c:pt idx="1">
                  <c:v>г. Черногорск</c:v>
                </c:pt>
                <c:pt idx="2">
                  <c:v>г. Саяногорск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(фин)'!$D$3:$D$7</c:f>
              <c:numCache>
                <c:formatCode>0.0</c:formatCode>
                <c:ptCount val="5"/>
                <c:pt idx="0">
                  <c:v>52.4</c:v>
                </c:pt>
                <c:pt idx="1">
                  <c:v>52.4</c:v>
                </c:pt>
                <c:pt idx="2">
                  <c:v>52.4</c:v>
                </c:pt>
                <c:pt idx="3">
                  <c:v>52.4</c:v>
                </c:pt>
                <c:pt idx="4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281792"/>
        <c:axId val="165283328"/>
      </c:lineChart>
      <c:catAx>
        <c:axId val="165281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65283328"/>
        <c:crosses val="autoZero"/>
        <c:auto val="1"/>
        <c:lblAlgn val="ctr"/>
        <c:lblOffset val="100"/>
        <c:noMultiLvlLbl val="0"/>
      </c:catAx>
      <c:valAx>
        <c:axId val="1652833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65281792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ayout>
        <c:manualLayout>
          <c:xMode val="edge"/>
          <c:yMode val="edge"/>
          <c:x val="0.15413986579204395"/>
          <c:y val="0.83860142482189726"/>
          <c:w val="0.69172009981718841"/>
          <c:h val="8.644285793331058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655144230566681E-2"/>
          <c:y val="4.6405515924929447E-2"/>
          <c:w val="0.91978412810758203"/>
          <c:h val="0.451094381227424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(фин)'!$B$9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-7.23327305605787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332730560578659E-3"/>
                  <c:y val="4.1797283176593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466546112115732E-2"/>
                  <c:y val="4.1797283176593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66546112115732E-2"/>
                  <c:y val="4.1797283176593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699819168173599E-2"/>
                  <c:y val="8.35945663531870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699819168173599E-2"/>
                  <c:y val="4.1797283176593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2055459359714867E-2"/>
                  <c:y val="8.3594566353187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Орджоникидзевский р-н</c:v>
                </c:pt>
                <c:pt idx="2">
                  <c:v>Усть-Абаканский р-н</c:v>
                </c:pt>
                <c:pt idx="3">
                  <c:v>Таштыпский р-н</c:v>
                </c:pt>
                <c:pt idx="4">
                  <c:v>Бейский р-н</c:v>
                </c:pt>
                <c:pt idx="5">
                  <c:v>Аскизский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(фин)'!$B$10:$B$17</c:f>
              <c:numCache>
                <c:formatCode>General</c:formatCode>
                <c:ptCount val="8"/>
                <c:pt idx="0" formatCode="0.0">
                  <c:v>48</c:v>
                </c:pt>
                <c:pt idx="1">
                  <c:v>47.5</c:v>
                </c:pt>
                <c:pt idx="2">
                  <c:v>35.799999999999997</c:v>
                </c:pt>
                <c:pt idx="3">
                  <c:v>22.3</c:v>
                </c:pt>
                <c:pt idx="4">
                  <c:v>17.600000000000001</c:v>
                </c:pt>
                <c:pt idx="5" formatCode="0.0">
                  <c:v>19.7</c:v>
                </c:pt>
                <c:pt idx="6">
                  <c:v>14.4</c:v>
                </c:pt>
                <c:pt idx="7">
                  <c:v>13.1</c:v>
                </c:pt>
              </c:numCache>
            </c:numRef>
          </c:val>
        </c:ser>
        <c:ser>
          <c:idx val="1"/>
          <c:order val="1"/>
          <c:tx>
            <c:strRef>
              <c:f>'ГРАФИКИ (фин)'!$C$9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4.28036383092562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443640747438213E-3"/>
                  <c:y val="1.0493092752120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6.3129987539436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333333333333332E-3"/>
                  <c:y val="1.0101010101010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128357931273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4891287323261809E-3"/>
                  <c:y val="1.388887517586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686168442427848E-4"/>
                  <c:y val="4.1797283176593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1552353424176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Орджоникидзевский р-н</c:v>
                </c:pt>
                <c:pt idx="2">
                  <c:v>Усть-Абаканский р-н</c:v>
                </c:pt>
                <c:pt idx="3">
                  <c:v>Таштыпский р-н</c:v>
                </c:pt>
                <c:pt idx="4">
                  <c:v>Бейский р-н</c:v>
                </c:pt>
                <c:pt idx="5">
                  <c:v>Аскизский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(фин)'!$C$10:$C$17</c:f>
              <c:numCache>
                <c:formatCode>General</c:formatCode>
                <c:ptCount val="8"/>
                <c:pt idx="0" formatCode="0.0">
                  <c:v>46.5</c:v>
                </c:pt>
                <c:pt idx="1">
                  <c:v>45.5</c:v>
                </c:pt>
                <c:pt idx="2">
                  <c:v>44.9</c:v>
                </c:pt>
                <c:pt idx="3" formatCode="0.0">
                  <c:v>33</c:v>
                </c:pt>
                <c:pt idx="4">
                  <c:v>29.7</c:v>
                </c:pt>
                <c:pt idx="5">
                  <c:v>25.7</c:v>
                </c:pt>
                <c:pt idx="6">
                  <c:v>20.5</c:v>
                </c:pt>
                <c:pt idx="7">
                  <c:v>15.9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328000"/>
        <c:axId val="165329536"/>
      </c:barChart>
      <c:lineChart>
        <c:grouping val="standard"/>
        <c:varyColors val="0"/>
        <c:ser>
          <c:idx val="2"/>
          <c:order val="2"/>
          <c:tx>
            <c:strRef>
              <c:f>'ГРАФИКИ (фин)'!$D$9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>
              <a:solidFill>
                <a:schemeClr val="accent3">
                  <a:lumMod val="75000"/>
                </a:schemeClr>
              </a:solidFill>
              <a:prstDash val="dash"/>
            </a:ln>
          </c:spPr>
          <c:marker>
            <c:symbol val="none"/>
          </c:marker>
          <c:dPt>
            <c:idx val="7"/>
            <c:bubble3D val="0"/>
          </c:dPt>
          <c:dLbls>
            <c:dLbl>
              <c:idx val="7"/>
              <c:layout>
                <c:manualLayout>
                  <c:x val="-5.0156008979890171E-2"/>
                  <c:y val="-5.9654267354511722E-2"/>
                </c:manualLayout>
              </c:layout>
              <c:spPr>
                <a:solidFill>
                  <a:schemeClr val="accent3">
                    <a:lumMod val="20000"/>
                    <a:lumOff val="80000"/>
                  </a:schemeClr>
                </a:solidFill>
                <a:ln>
                  <a:noFill/>
                </a:ln>
              </c:spPr>
              <c:txPr>
                <a:bodyPr/>
                <a:lstStyle/>
                <a:p>
                  <a:pPr>
                    <a:defRPr b="1">
                      <a:solidFill>
                        <a:srgbClr val="487246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  <a:ln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rgbClr val="487246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(фин)'!$A$10:$A$17</c:f>
              <c:strCache>
                <c:ptCount val="8"/>
                <c:pt idx="0">
                  <c:v>Алтайский р-н</c:v>
                </c:pt>
                <c:pt idx="1">
                  <c:v>Орджоникидзевский р-н</c:v>
                </c:pt>
                <c:pt idx="2">
                  <c:v>Усть-Абаканский р-н</c:v>
                </c:pt>
                <c:pt idx="3">
                  <c:v>Таштыпский р-н</c:v>
                </c:pt>
                <c:pt idx="4">
                  <c:v>Бейский р-н</c:v>
                </c:pt>
                <c:pt idx="5">
                  <c:v>Аскизский р-н</c:v>
                </c:pt>
                <c:pt idx="6">
                  <c:v>Боградский р-н</c:v>
                </c:pt>
                <c:pt idx="7">
                  <c:v>Ширинский р-н</c:v>
                </c:pt>
              </c:strCache>
            </c:strRef>
          </c:cat>
          <c:val>
            <c:numRef>
              <c:f>'ГРАФИКИ (фин)'!$D$10:$D$17</c:f>
              <c:numCache>
                <c:formatCode>General</c:formatCode>
                <c:ptCount val="8"/>
                <c:pt idx="0">
                  <c:v>34.4</c:v>
                </c:pt>
                <c:pt idx="1">
                  <c:v>34.4</c:v>
                </c:pt>
                <c:pt idx="2">
                  <c:v>34.4</c:v>
                </c:pt>
                <c:pt idx="3">
                  <c:v>34.4</c:v>
                </c:pt>
                <c:pt idx="4">
                  <c:v>34.4</c:v>
                </c:pt>
                <c:pt idx="5">
                  <c:v>34.4</c:v>
                </c:pt>
                <c:pt idx="6">
                  <c:v>34.4</c:v>
                </c:pt>
                <c:pt idx="7">
                  <c:v>34.4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328000"/>
        <c:axId val="165329536"/>
      </c:lineChart>
      <c:catAx>
        <c:axId val="165328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65329536"/>
        <c:crosses val="autoZero"/>
        <c:auto val="1"/>
        <c:lblAlgn val="ctr"/>
        <c:lblOffset val="100"/>
        <c:noMultiLvlLbl val="0"/>
      </c:catAx>
      <c:valAx>
        <c:axId val="16532953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65328000"/>
        <c:crosses val="autoZero"/>
        <c:crossBetween val="between"/>
      </c:valAx>
      <c:spPr>
        <a:noFill/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pattFill prst="dkUpDiag">
          <a:fgClr>
            <a:schemeClr val="accent3">
              <a:lumMod val="20000"/>
              <a:lumOff val="80000"/>
            </a:schemeClr>
          </a:fgClr>
          <a:bgClr>
            <a:schemeClr val="accent5">
              <a:lumMod val="20000"/>
              <a:lumOff val="80000"/>
            </a:schemeClr>
          </a:bgClr>
        </a:pattFill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6.8456192363994098E-2"/>
          <c:y val="3.5366931918656058E-2"/>
          <c:w val="0.92324757825074943"/>
          <c:h val="0.7785791587553577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'ГРАФИКИ (фин)'!$C$59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2.194787379972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075018790340163E-17"/>
                  <c:y val="-1.6460905349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6460905349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6150037580680326E-17"/>
                  <c:y val="-2.7434842249657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6460905349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(фин)'!$A$60:$A$64</c:f>
              <c:strCache>
                <c:ptCount val="5"/>
                <c:pt idx="0">
                  <c:v>г. Абаза</c:v>
                </c:pt>
                <c:pt idx="1">
                  <c:v>г. Сорск</c:v>
                </c:pt>
                <c:pt idx="2">
                  <c:v>г. Черногорск</c:v>
                </c:pt>
                <c:pt idx="3">
                  <c:v>г. Саяногорск</c:v>
                </c:pt>
                <c:pt idx="4">
                  <c:v>г. Абакан</c:v>
                </c:pt>
              </c:strCache>
            </c:strRef>
          </c:cat>
          <c:val>
            <c:numRef>
              <c:f>'ГРАФИКИ (фин)'!$C$60:$C$64</c:f>
              <c:numCache>
                <c:formatCode>General</c:formatCode>
                <c:ptCount val="5"/>
                <c:pt idx="0" formatCode="0.0">
                  <c:v>3.4</c:v>
                </c:pt>
                <c:pt idx="1">
                  <c:v>6.4</c:v>
                </c:pt>
                <c:pt idx="2">
                  <c:v>12.9</c:v>
                </c:pt>
                <c:pt idx="3">
                  <c:v>28</c:v>
                </c:pt>
                <c:pt idx="4" formatCode="0.0">
                  <c:v>35.9</c:v>
                </c:pt>
              </c:numCache>
            </c:numRef>
          </c:val>
        </c:ser>
        <c:ser>
          <c:idx val="1"/>
          <c:order val="1"/>
          <c:tx>
            <c:strRef>
              <c:f>'ГРАФИКИ (фин)'!$B$59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4144497369927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1536863966770508E-3"/>
                  <c:y val="-3.255802901180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1584092111942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158409211194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906542056074768E-2"/>
                  <c:y val="-1.388890801218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(фин)'!$A$60:$A$64</c:f>
              <c:strCache>
                <c:ptCount val="5"/>
                <c:pt idx="0">
                  <c:v>г. Абаза</c:v>
                </c:pt>
                <c:pt idx="1">
                  <c:v>г. Сорск</c:v>
                </c:pt>
                <c:pt idx="2">
                  <c:v>г. Черногорск</c:v>
                </c:pt>
                <c:pt idx="3">
                  <c:v>г. Саяногорск</c:v>
                </c:pt>
                <c:pt idx="4">
                  <c:v>г. Абакан</c:v>
                </c:pt>
              </c:strCache>
            </c:strRef>
          </c:cat>
          <c:val>
            <c:numRef>
              <c:f>'ГРАФИКИ (фин)'!$B$60:$B$64</c:f>
              <c:numCache>
                <c:formatCode>General</c:formatCode>
                <c:ptCount val="5"/>
                <c:pt idx="0">
                  <c:v>3.2</c:v>
                </c:pt>
                <c:pt idx="1">
                  <c:v>5.8</c:v>
                </c:pt>
                <c:pt idx="2">
                  <c:v>12.4</c:v>
                </c:pt>
                <c:pt idx="3">
                  <c:v>27.7</c:v>
                </c:pt>
                <c:pt idx="4">
                  <c:v>25.3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247680"/>
        <c:axId val="168249216"/>
        <c:axId val="168281856"/>
      </c:bar3DChart>
      <c:catAx>
        <c:axId val="168247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68249216"/>
        <c:crosses val="autoZero"/>
        <c:auto val="1"/>
        <c:lblAlgn val="ctr"/>
        <c:lblOffset val="100"/>
        <c:noMultiLvlLbl val="0"/>
      </c:catAx>
      <c:valAx>
        <c:axId val="1682492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68247680"/>
        <c:crosses val="autoZero"/>
        <c:crossBetween val="between"/>
      </c:valAx>
      <c:serAx>
        <c:axId val="168281856"/>
        <c:scaling>
          <c:orientation val="minMax"/>
        </c:scaling>
        <c:delete val="1"/>
        <c:axPos val="b"/>
        <c:majorTickMark val="out"/>
        <c:minorTickMark val="none"/>
        <c:tickLblPos val="nextTo"/>
        <c:crossAx val="168249216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6.0856551584898042E-2"/>
          <c:y val="4.5267462134609061E-2"/>
          <c:w val="0.90664175740327768"/>
          <c:h val="0.5858661417322833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'ГРАФИКИ (фин)'!$C$66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2"/>
              <c:layout>
                <c:manualLayout>
                  <c:x val="-8.47906588734926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359299415511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(фин)'!$A$67:$A$74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Бейский р-н</c:v>
                </c:pt>
                <c:pt idx="3">
                  <c:v>Орджоникидзевский р-н</c:v>
                </c:pt>
                <c:pt idx="4">
                  <c:v>Таштыпский р-н</c:v>
                </c:pt>
                <c:pt idx="5">
                  <c:v>Аскизский р-н</c:v>
                </c:pt>
                <c:pt idx="6">
                  <c:v>Ширинский р-н</c:v>
                </c:pt>
                <c:pt idx="7">
                  <c:v>Боградский р-н</c:v>
                </c:pt>
              </c:strCache>
            </c:strRef>
          </c:cat>
          <c:val>
            <c:numRef>
              <c:f>'ГРАФИКИ (фин)'!$C$67:$C$74</c:f>
              <c:numCache>
                <c:formatCode>0.0</c:formatCode>
                <c:ptCount val="8"/>
                <c:pt idx="0">
                  <c:v>1.6</c:v>
                </c:pt>
                <c:pt idx="1">
                  <c:v>4.0999999999999996</c:v>
                </c:pt>
                <c:pt idx="2">
                  <c:v>13.4</c:v>
                </c:pt>
                <c:pt idx="3">
                  <c:v>16.899999999999999</c:v>
                </c:pt>
                <c:pt idx="4">
                  <c:v>18.100000000000001</c:v>
                </c:pt>
                <c:pt idx="5">
                  <c:v>19.899999999999999</c:v>
                </c:pt>
                <c:pt idx="6">
                  <c:v>23.2</c:v>
                </c:pt>
                <c:pt idx="7">
                  <c:v>34.200000000000003</c:v>
                </c:pt>
              </c:numCache>
            </c:numRef>
          </c:val>
        </c:ser>
        <c:ser>
          <c:idx val="1"/>
          <c:order val="1"/>
          <c:tx>
            <c:strRef>
              <c:f>'ГРАФИКИ (фин)'!$B$66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1.06951871657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5929941551195E-3"/>
                  <c:y val="-7.618985126859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2395329436746339E-3"/>
                  <c:y val="-1.0206324209473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0158730158730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317431190210486E-2"/>
                  <c:y val="-4.8412073490813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197664718373168E-2"/>
                  <c:y val="3.2539370078740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1197497807627353E-2"/>
                  <c:y val="-5.079396325459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543719766204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(фин)'!$A$67:$A$74</c:f>
              <c:strCache>
                <c:ptCount val="8"/>
                <c:pt idx="0">
                  <c:v>Усть-Абаканский р-н</c:v>
                </c:pt>
                <c:pt idx="1">
                  <c:v>Алтайский р-н</c:v>
                </c:pt>
                <c:pt idx="2">
                  <c:v>Бейский р-н</c:v>
                </c:pt>
                <c:pt idx="3">
                  <c:v>Орджоникидзевский р-н</c:v>
                </c:pt>
                <c:pt idx="4">
                  <c:v>Таштыпский р-н</c:v>
                </c:pt>
                <c:pt idx="5">
                  <c:v>Аскизский р-н</c:v>
                </c:pt>
                <c:pt idx="6">
                  <c:v>Ширинский р-н</c:v>
                </c:pt>
                <c:pt idx="7">
                  <c:v>Боградский р-н</c:v>
                </c:pt>
              </c:strCache>
            </c:strRef>
          </c:cat>
          <c:val>
            <c:numRef>
              <c:f>'ГРАФИКИ (фин)'!$B$67:$B$74</c:f>
              <c:numCache>
                <c:formatCode>General</c:formatCode>
                <c:ptCount val="8"/>
                <c:pt idx="0">
                  <c:v>0</c:v>
                </c:pt>
                <c:pt idx="1">
                  <c:v>3.2</c:v>
                </c:pt>
                <c:pt idx="2">
                  <c:v>11.2</c:v>
                </c:pt>
                <c:pt idx="3">
                  <c:v>16.600000000000001</c:v>
                </c:pt>
                <c:pt idx="4">
                  <c:v>26.6</c:v>
                </c:pt>
                <c:pt idx="5">
                  <c:v>25.5</c:v>
                </c:pt>
                <c:pt idx="6">
                  <c:v>28.7</c:v>
                </c:pt>
                <c:pt idx="7">
                  <c:v>52.2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411904"/>
        <c:axId val="168413440"/>
        <c:axId val="165071488"/>
      </c:bar3DChart>
      <c:catAx>
        <c:axId val="168411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413440"/>
        <c:crosses val="autoZero"/>
        <c:auto val="1"/>
        <c:lblAlgn val="ctr"/>
        <c:lblOffset val="100"/>
        <c:noMultiLvlLbl val="0"/>
      </c:catAx>
      <c:valAx>
        <c:axId val="1684134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68411904"/>
        <c:crosses val="autoZero"/>
        <c:crossBetween val="between"/>
      </c:valAx>
      <c:serAx>
        <c:axId val="165071488"/>
        <c:scaling>
          <c:orientation val="minMax"/>
        </c:scaling>
        <c:delete val="1"/>
        <c:axPos val="b"/>
        <c:majorTickMark val="out"/>
        <c:minorTickMark val="none"/>
        <c:tickLblPos val="nextTo"/>
        <c:crossAx val="168413440"/>
        <c:crosses val="autoZero"/>
      </c:ser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579395238515468E-2"/>
          <c:y val="6.4493288905253382E-2"/>
          <c:w val="0.93344259645543026"/>
          <c:h val="0.65008953462577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(фин)'!$B$77</c:f>
              <c:strCache>
                <c:ptCount val="1"/>
                <c:pt idx="0">
                  <c:v>за 2018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-1.49532710280373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47663551401869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Абакан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(фин)'!$B$78:$B$82</c:f>
              <c:numCache>
                <c:formatCode>General</c:formatCode>
                <c:ptCount val="5"/>
                <c:pt idx="0">
                  <c:v>101.1</c:v>
                </c:pt>
                <c:pt idx="1">
                  <c:v>102.3</c:v>
                </c:pt>
                <c:pt idx="2">
                  <c:v>96.5</c:v>
                </c:pt>
                <c:pt idx="3">
                  <c:v>104.4</c:v>
                </c:pt>
                <c:pt idx="4">
                  <c:v>96.4</c:v>
                </c:pt>
              </c:numCache>
            </c:numRef>
          </c:val>
        </c:ser>
        <c:ser>
          <c:idx val="1"/>
          <c:order val="1"/>
          <c:tx>
            <c:strRef>
              <c:f>'ГРАФИКИ (фин)'!$C$77</c:f>
              <c:strCache>
                <c:ptCount val="1"/>
                <c:pt idx="0">
                  <c:v>за 2019 год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1.4953271028037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4766355140186919E-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4766355140186919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384872345502266E-2"/>
                  <c:y val="-1.2688722551656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42990654205607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Абакан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(фин)'!$C$78:$C$82</c:f>
              <c:numCache>
                <c:formatCode>General</c:formatCode>
                <c:ptCount val="5"/>
                <c:pt idx="0">
                  <c:v>105.2</c:v>
                </c:pt>
                <c:pt idx="1">
                  <c:v>98.2</c:v>
                </c:pt>
                <c:pt idx="2">
                  <c:v>95.9</c:v>
                </c:pt>
                <c:pt idx="3">
                  <c:v>94.6</c:v>
                </c:pt>
                <c:pt idx="4">
                  <c:v>81.7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413312"/>
        <c:axId val="198517504"/>
      </c:barChart>
      <c:lineChart>
        <c:grouping val="standard"/>
        <c:varyColors val="0"/>
        <c:ser>
          <c:idx val="2"/>
          <c:order val="2"/>
          <c:tx>
            <c:strRef>
              <c:f>'ГРАФИКИ (фин)'!$D$77</c:f>
              <c:strCache>
                <c:ptCount val="1"/>
                <c:pt idx="0">
                  <c:v>Среднее значение </c:v>
                </c:pt>
              </c:strCache>
            </c:strRef>
          </c:tx>
          <c:spPr>
            <a:ln>
              <a:solidFill>
                <a:srgbClr val="487246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0.73461180534336024"/>
                  <c:y val="-7.4927784024942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b="1">
                    <a:solidFill>
                      <a:schemeClr val="accent3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'ГРАФИКИ (фин)'!$A$78:$A$82</c:f>
              <c:strCache>
                <c:ptCount val="5"/>
                <c:pt idx="0">
                  <c:v>г. Черногорск</c:v>
                </c:pt>
                <c:pt idx="1">
                  <c:v>г. Саяногорск</c:v>
                </c:pt>
                <c:pt idx="2">
                  <c:v>г. Абакан</c:v>
                </c:pt>
                <c:pt idx="3">
                  <c:v>г. Сорск</c:v>
                </c:pt>
                <c:pt idx="4">
                  <c:v>г. Абаза</c:v>
                </c:pt>
              </c:strCache>
            </c:strRef>
          </c:cat>
          <c:val>
            <c:numRef>
              <c:f>'ГРАФИКИ (фин)'!$D$78:$D$82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413312"/>
        <c:axId val="198517504"/>
      </c:lineChart>
      <c:catAx>
        <c:axId val="198413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98517504"/>
        <c:crosses val="autoZero"/>
        <c:auto val="1"/>
        <c:lblAlgn val="ctr"/>
        <c:lblOffset val="100"/>
        <c:noMultiLvlLbl val="0"/>
      </c:catAx>
      <c:valAx>
        <c:axId val="19851750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98413312"/>
        <c:crosses val="autoZero"/>
        <c:crossBetween val="between"/>
      </c:valAx>
      <c:spPr>
        <a:noFill/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84994-EA97-4BA7-B8A4-3886BD7C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2706</TotalTime>
  <Pages>13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Республики Хакасия</Company>
  <LinksUpToDate>false</LinksUpToDate>
  <CharactersWithSpaces>18977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Подорожная Марина</dc:creator>
  <cp:lastModifiedBy>Филиппова Надежда Валерьевна</cp:lastModifiedBy>
  <cp:revision>56</cp:revision>
  <cp:lastPrinted>2020-04-07T11:00:00Z</cp:lastPrinted>
  <dcterms:created xsi:type="dcterms:W3CDTF">2019-09-23T01:52:00Z</dcterms:created>
  <dcterms:modified xsi:type="dcterms:W3CDTF">2020-04-07T11:40:00Z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1887679772</vt:i4>
  </property>
  <property fmtid="{D5CDD505-2E9C-101B-9397-08002B2CF9AE}" pid="3" name="_NewReviewCycle">
    <vt:lpwstr/>
  </property>
  <property fmtid="{D5CDD505-2E9C-101B-9397-08002B2CF9AE}" pid="4" name="_EmailSubject">
    <vt:lpwstr>Мониторинг СЭР МО по итогам 2019 года</vt:lpwstr>
  </property>
  <property fmtid="{D5CDD505-2E9C-101B-9397-08002B2CF9AE}" pid="5" name="_AuthorEmail">
    <vt:lpwstr>me07@r-19.ru</vt:lpwstr>
  </property>
  <property fmtid="{D5CDD505-2E9C-101B-9397-08002B2CF9AE}" pid="6" name="_AuthorEmailDisplayName">
    <vt:lpwstr>Филиппова Надежда Валерьевна</vt:lpwstr>
  </property>
  <property fmtid="{D5CDD505-2E9C-101B-9397-08002B2CF9AE}" pid="7" name="_PreviousAdHocReviewCycleID">
    <vt:i4>-561049045</vt:i4>
  </property>
</Properties>
</file>