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52" w:rsidRDefault="00411A5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1A52" w:rsidRDefault="00411A52">
      <w:pPr>
        <w:pStyle w:val="ConsPlusNormal"/>
        <w:jc w:val="both"/>
        <w:outlineLvl w:val="0"/>
      </w:pPr>
    </w:p>
    <w:p w:rsidR="00411A52" w:rsidRDefault="00411A52">
      <w:pPr>
        <w:pStyle w:val="ConsPlusNormal"/>
        <w:jc w:val="right"/>
      </w:pPr>
      <w:r>
        <w:t>Утвержден</w:t>
      </w:r>
    </w:p>
    <w:p w:rsidR="00411A52" w:rsidRDefault="00411A52">
      <w:pPr>
        <w:pStyle w:val="ConsPlusNormal"/>
        <w:jc w:val="right"/>
      </w:pPr>
      <w:r>
        <w:t>Президентом РФ</w:t>
      </w:r>
    </w:p>
    <w:p w:rsidR="00411A52" w:rsidRDefault="00411A52">
      <w:pPr>
        <w:pStyle w:val="ConsPlusNormal"/>
        <w:jc w:val="right"/>
      </w:pPr>
      <w:r>
        <w:t>24.08.2022 N Пр-1483ГС</w:t>
      </w:r>
    </w:p>
    <w:p w:rsidR="00411A52" w:rsidRDefault="00411A52">
      <w:pPr>
        <w:pStyle w:val="ConsPlusNormal"/>
        <w:jc w:val="right"/>
      </w:pPr>
    </w:p>
    <w:p w:rsidR="00411A52" w:rsidRDefault="00411A52">
      <w:pPr>
        <w:pStyle w:val="ConsPlusTitle"/>
        <w:jc w:val="center"/>
      </w:pPr>
      <w:r>
        <w:t>ПЕРЕЧЕНЬ ПОРУЧЕНИЙ ПО ИТОГАМ ЗАСЕДАНИЯ ПРЕЗИДИУМА ГОССОВЕТА</w:t>
      </w:r>
    </w:p>
    <w:p w:rsidR="00411A52" w:rsidRDefault="00411A52">
      <w:pPr>
        <w:pStyle w:val="ConsPlusNormal"/>
        <w:jc w:val="center"/>
      </w:pPr>
    </w:p>
    <w:p w:rsidR="00411A52" w:rsidRDefault="00411A52">
      <w:pPr>
        <w:pStyle w:val="ConsPlusNormal"/>
        <w:ind w:firstLine="540"/>
        <w:jc w:val="both"/>
      </w:pPr>
      <w:r>
        <w:t>Глава государства утвердил перечень поручений по итогам заседания Президиума Государственного Совета Российской Федерации, состоявшегося 21 июня 2022 года.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1. Правительству Российской Федерации: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а) утвердить стратегию развития строительной отрасли и жилищно-коммунального хозяйства на период до 2030 года с прогнозом до 2035 года, доработав ее с учетом состоявшегося в ходе </w:t>
      </w:r>
      <w:proofErr w:type="gramStart"/>
      <w:r>
        <w:t>заседания Президиума Государственного Совета Российской Федерации обсуждения</w:t>
      </w:r>
      <w:proofErr w:type="gramEnd"/>
      <w:r>
        <w:t xml:space="preserve"> и предложений комиссий Государственного Совета Российской Федерации.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- 15 ноября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б) представить предложения о целесообразности продления до 2030 года сроков реализации национальных проектов, в том числе национального </w:t>
      </w:r>
      <w:hyperlink r:id="rId5">
        <w:r>
          <w:rPr>
            <w:color w:val="0000FF"/>
          </w:rPr>
          <w:t>проекта</w:t>
        </w:r>
      </w:hyperlink>
      <w:r>
        <w:t xml:space="preserve">"Жилье и городская среда", и </w:t>
      </w:r>
      <w:proofErr w:type="spellStart"/>
      <w:r>
        <w:t>взаимоувязки</w:t>
      </w:r>
      <w:proofErr w:type="spellEnd"/>
      <w:r>
        <w:t xml:space="preserve"> мер, осуществляемых в рамках их реализации.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в) в целях повышения эффективности капитальных вложений: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утвердить комплексную программу "Строительство" со сроком реализации пять лет, предусмотрев 900 млрд. рублей ежегодно на ее реализацию в 2023 - 2025 годах, а также 1 трлн. рублей ежегодно в 2026 и 2027 годах на реализацию федеральной адресной инвестиционной программы (без учета финансирования государственного оборонного заказа).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- 15 декабря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предусмотреть при формировании проекта федерального бюджета на 2023 год и на плановый период 2024 и 2025 годов дополнительные бюджетные ассигнования в совокупном объеме не менее 50 млрд. рублей на завершение строительства, реконструкции объектов незавершенного строительства, при строительстве, реконструкции которых использовались средства федерального бюджета.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gramStart"/>
      <w:r>
        <w:t>г) в связи со значительным ростом цен на строительные ресурсы предусмотреть в 2022 году дополнительное финансирование работ по строительству, реконструкции и капитальному ремонту объектов капитального строительства, осуществляемых с использованием средств федерального бюджета, по мере получения положительных заключений государственной экспертизы проектной документации в объеме, необходимом для завершения строительства и ввода в эксплуатацию указанных объектов.</w:t>
      </w:r>
      <w:proofErr w:type="gramEnd"/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10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в целях комплексной модернизации коммунальной инфраструктуры: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разработать и утвердить программу модернизации коммунальной инфраструктуры на 2023 - </w:t>
      </w:r>
      <w:r>
        <w:lastRenderedPageBreak/>
        <w:t>2027 годы (с возможностью продления до 2030 года), предусмотрев ее финансирование за счет средств федерального бюджета в объеме 150 млрд. рублей ежегодно.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 декабря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по утверждению плана выдачи инфраструктурных бюджетных кредитов на 2022 - 2026 годы, рассмотрев возможность использования таких бюджетных кредитов в 2026 году на финансирование мероприятий, направленных на модернизацию коммунальной инфраструктуры;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по совершенствованию тарифной политики в сфере жилищно-коммунального хозяйства с учетом задач по модернизации коммунальной инфраструктуры.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е) при формировании и реализации программы расселения аварийного жилья, признанного таковым в период с 1 января 2017 г. по 1 января 2022 г.: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предусмотреть финансирование мероприятий, включенных в указанную программу, за счет средств федерального </w:t>
      </w:r>
      <w:proofErr w:type="gramStart"/>
      <w:r>
        <w:t>бюджета</w:t>
      </w:r>
      <w:proofErr w:type="gramEnd"/>
      <w:r>
        <w:t xml:space="preserve"> начиная с 2024 года в объеме не менее объема ежегодного финансирования таких мероприятий за счет средств федерального бюджета в 2020 - 2024 годах, установив, что объем федеральной поддержки определяется с учетом бюджетной обеспеченности субъекта Российской Федерации и в среднем по Российской Федерации не должен превышать 60 процентов;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использовать механизмы поддержки реализации проектов комплексного развития территорий, предусматривающих расселение аварийного жилья.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 декабря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ж) в целях компенсации затрат, связанных с увеличением расходов на расселение аварийного жилья, признанного таковым до 1 января 2017 г., предусмотреть в 2022 и 2023 годах финансирование мероприятий, направленных на реализацию федерального </w:t>
      </w:r>
      <w:hyperlink r:id="rId6">
        <w:r>
          <w:rPr>
            <w:color w:val="0000FF"/>
          </w:rPr>
          <w:t>проекта</w:t>
        </w:r>
      </w:hyperlink>
      <w:r>
        <w:t>"Обеспечение устойчивого сокращения непригодного для проживания жилищного фонда", в совокупном объеме 24 млрд. рублей.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10 сентября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в целях упрощения процедуры внесения изменений в документы территориального планирования и градостроительного зонирования, а также исключения дублирования таких документов предусмотреть возможность использования единого документа территориального планирования и градостроительного зонирования, определяющего основные направления развития территорий одного или нескольких муниципальных образований (частей таких территорий), установив порядок его подготовки и утверждения.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- 20 февраля 2023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и) в целях комплексного обновления территорий населенных пунктов и развития жилищного строительства: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по синхронизации планов жилищного строительства с планами развития улично-дорожной сети и иной транспортной инфраструктуры, в том числе с учетом требований к парковочному пространству, плотности застройки и интенсивности движения, а также с планами развития объектов сетевой инфраструктуры и генерирующих мощностей;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обеспечить синхронизацию мероприятий по жилищному строительству с мероприятиями по </w:t>
      </w:r>
      <w:r>
        <w:lastRenderedPageBreak/>
        <w:t>строительству объектов социальной, транспортной, инженерной и иной инфраструктуры, предусмотренными национальными проектами.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15 ноября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о возмещении затрат на строительство объектов коммунальной инфраструктуры, которое осуществлялось с привлечением инфраструктурных бюджетных кредитов, средств Фонда национального благосостояния, за счет платы за подключение (технологическое присоединение) объектов капитального строительства к сетям инженерно-технического обеспечения с учетом запаса мощности на весь цикл планируемой застройки.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- 30 ноября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к) представить предложения о целесообразности строительства систем водоснабжения, обеспечивающих подачу технической воды для хозяйственных нужд населения в сельской местности;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л) представить предложения о повышении безопасности эксплуатации внутридомового и внутриквартирного газового оборудования.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- 20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м) в целях </w:t>
      </w:r>
      <w:proofErr w:type="gramStart"/>
      <w:r>
        <w:t>повышения эффективности проведения капитального ремонта общего имущества</w:t>
      </w:r>
      <w:proofErr w:type="gramEnd"/>
      <w:r>
        <w:t xml:space="preserve"> в многоквартирных домах: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обеспечить расширение перечня видов работ, осуществляемых в рамках капитального ремонта общего имущества в многоквартирных домах, увязав программу капитального ремонта общего имущества в многоквартирных домах с планом модернизации коммунальной инфраструктуры;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по уточнению квалификационных требований к отбору подрядных организаций для проведения капитального ремонта общего имущества в многоквартирных домах.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- 20 ноября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определить особенности осуществления капитального ремонта общего имущества в многоквартирных домах, являющихся объектами культурного наследия (памятниками истории и культуры) народов Российской Федерации, в том числе в части, касающейся требований к архитектурно-строительному проектированию и выполнению таких работ.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- 10 апреля 2023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gramStart"/>
      <w:r>
        <w:t>представить предложения по совершенствованию полномочий органов государственного жилищного надзора при осуществлении контроля за деятельностью управляющих организаций,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и подрядных организаций в части, касающейся использования средств, которые находятся на специальных счетах, предназначенных для перечисления средств на проведение капитального ремонта общего имущества в многоквартирных домах и</w:t>
      </w:r>
      <w:proofErr w:type="gramEnd"/>
      <w:r>
        <w:t xml:space="preserve"> </w:t>
      </w:r>
      <w:proofErr w:type="gramStart"/>
      <w:r>
        <w:t>открытых в кредитных организациях.</w:t>
      </w:r>
      <w:proofErr w:type="gramEnd"/>
    </w:p>
    <w:p w:rsidR="00411A52" w:rsidRDefault="00411A52">
      <w:pPr>
        <w:pStyle w:val="ConsPlusNormal"/>
        <w:spacing w:before="220"/>
        <w:ind w:firstLine="540"/>
        <w:jc w:val="both"/>
      </w:pPr>
      <w:r>
        <w:t>Срок - 1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в целях развития индивидуального жилищного строительства: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представить предложения по расширению ипотечной программы по строительству объектов </w:t>
      </w:r>
      <w:r>
        <w:lastRenderedPageBreak/>
        <w:t>индивидуального жилищного строительства, осуществляемому гражданами самостоятельно.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- 10 сентября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обеспечить наделение субъектов Российской Федерации правом устанавливать возможность предоставления земельных участков для целей индивидуального жилищного строительства с обязательством построить индивидуальный жилой дом и зарегистрировать права на него в установленные сроки.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- 20 января 2023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представить предложения по реализации мер поддержки строительства индивидуальных жилых домов, осуществляемого с использованием быстровозводимых конструкций, в том числе в части, касающейся создания (приобретения) соответствующих технологий.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- 10 декабря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о) разработать комплекс мер по поддержке отечественных производителей в целях обеспечения производства строительных материалов в объеме, необходимом для достижения задач, поставленных в стратегии развития строительной отрасли и жилищно-коммунального хозяйства на период до 2030 года с прогнозом до 2035 года, </w:t>
      </w:r>
      <w:proofErr w:type="gramStart"/>
      <w:r>
        <w:t>предусмотрев</w:t>
      </w:r>
      <w:proofErr w:type="gramEnd"/>
      <w:r>
        <w:t xml:space="preserve"> в том числе создание условий для формирования партнерств в целях проведения и финансирования научно-исследовательских и опытно-конструкторских работ.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- 30 сентября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 xml:space="preserve">) в целях сокращения продолжительности </w:t>
      </w:r>
      <w:proofErr w:type="spellStart"/>
      <w:r>
        <w:t>инвестиционно-строительного</w:t>
      </w:r>
      <w:proofErr w:type="spellEnd"/>
      <w:r>
        <w:t xml:space="preserve"> цикла не менее чем на 30 процентов: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обеспечить поэтапное сокращение не менее чем на 30 процентов количества документов, сведений, материалов, согласований, содержащихся в утвержденном Правительством Российской Федерации исчерпывающем перечне документов, сведений, материалов, согласований, необходимых для реализации проектов по строительству объектов капитального строительства.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15 ноября 2022 г., далее - один раз в полгода;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обеспечить внесение в законодательство Российской Федерации изменений, предусматривающих: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создание цифрового реестра документов, сведений, материалов, согласований, необходимых для реализации проектов по строительству объектов капитального строительства;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создание цифрового реестра, определяющего исчерпывающий перечень требований к проектированию, строительству и эксплуатации объектов капитального строительства.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- 30 июня 2023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обеспечить возможность осуществления в электронной форме отдельных процедур, выполнение которых необходимо в целях строительства объектов капитального строительства, в том числе процедур, выполнение которых необходимо при подключении (технологическом присоединении) объектов капитального строительства к сетям инженерно-технического обеспечения.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1 сентября 2022 г., далее - один раз в полгода;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рассмотреть вопрос о продлении до конца 2024 года сроков применения особенностей осуществления градостроительной деятельности, регулирования земельных отношений и иных </w:t>
      </w:r>
      <w:r>
        <w:lastRenderedPageBreak/>
        <w:t xml:space="preserve">особенностей осуществления строительства, установленных в 2022 году в целях повышения устойчивости экономики в условиях внешнего </w:t>
      </w:r>
      <w:proofErr w:type="spellStart"/>
      <w:r>
        <w:t>санкционного</w:t>
      </w:r>
      <w:proofErr w:type="spellEnd"/>
      <w:r>
        <w:t xml:space="preserve"> давления, и при необходимости обеспечить внесение соответствующих изменений в законодательство Российской Федерации.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- 10 февраля 2023 г.;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представить предложения по оптимизации процедур, осуществляемых </w:t>
      </w:r>
      <w:proofErr w:type="spellStart"/>
      <w:r>
        <w:t>Роснедрами</w:t>
      </w:r>
      <w:proofErr w:type="spellEnd"/>
      <w:r>
        <w:t xml:space="preserve">, </w:t>
      </w:r>
      <w:proofErr w:type="spellStart"/>
      <w:r>
        <w:t>Росрыболовством</w:t>
      </w:r>
      <w:proofErr w:type="spellEnd"/>
      <w:r>
        <w:t xml:space="preserve"> и Минкультуры России при согласовании строительства, реконструкции объектов капитального строительства, в том числе в целях исключения дублирования процедур.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- 15 сентября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spellEnd"/>
      <w:r>
        <w:t xml:space="preserve">) в целях повышения престижности и </w:t>
      </w:r>
      <w:proofErr w:type="spellStart"/>
      <w:r>
        <w:t>востребованности</w:t>
      </w:r>
      <w:proofErr w:type="spellEnd"/>
      <w:r>
        <w:t xml:space="preserve"> профессий, связанных с архитектурой и строительством, утвердить план мероприятий ("дорожную карту"), </w:t>
      </w:r>
      <w:proofErr w:type="gramStart"/>
      <w:r>
        <w:t>предусматривающий</w:t>
      </w:r>
      <w:proofErr w:type="gramEnd"/>
      <w:r>
        <w:t xml:space="preserve"> в том числе внесение в образовательные программы по направлениям подготовки специалистов в сфере строительства изменений, обеспечивающих ускоренное вовлечение обучающихся в производственные процессы.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Срок - 20 октября 2022 г.;</w:t>
      </w:r>
    </w:p>
    <w:p w:rsidR="00411A52" w:rsidRDefault="00411A52">
      <w:pPr>
        <w:pStyle w:val="ConsPlusNormal"/>
        <w:spacing w:before="220"/>
        <w:ind w:firstLine="540"/>
        <w:jc w:val="both"/>
      </w:pPr>
      <w:proofErr w:type="gramStart"/>
      <w:r>
        <w:t>с) в целях обеспечения возможности гибкого реагирования на изменение цен на строительные ресурсы рассмотреть возможность перехода от заключения контрактов на строительство (реконструкцию) объектов капитального строительства в твердой цене на весь срок строительства к заключению контрактов на строительство (реконструкцию) объектов капитального строительства в ценах соответствующих лет на весь срок строительства с фиксацией в контракте формулы обязательного ежегодного пересчета указанной цены с</w:t>
      </w:r>
      <w:proofErr w:type="gramEnd"/>
      <w:r>
        <w:t xml:space="preserve"> использованием актуальных индексов-дефляторов.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20 февраля 2023 г.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 xml:space="preserve">Ответственный: </w:t>
      </w:r>
      <w:proofErr w:type="spellStart"/>
      <w:r>
        <w:t>Мишустин</w:t>
      </w:r>
      <w:proofErr w:type="spellEnd"/>
      <w:r>
        <w:t xml:space="preserve"> М.В.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2. Рекомендовать высшим должностным лицам субъектов Российской Федерации: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а) разработать и утвердить 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инфраструктуры;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б) провести инвентаризацию объектов незавершенного строительства, при строительстве которых были использованы средства бюджетов субъектов Российской Федерации, и по ее результатам принять решение о завершении строительства таких объектов или их ликвидации, а также определить источники, объемы и условия финансирования таких мероприятий.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Доклад - до 20 января 2023 г.</w:t>
      </w:r>
    </w:p>
    <w:p w:rsidR="00411A52" w:rsidRDefault="00411A52">
      <w:pPr>
        <w:pStyle w:val="ConsPlusNormal"/>
        <w:spacing w:before="220"/>
        <w:ind w:firstLine="540"/>
        <w:jc w:val="both"/>
      </w:pPr>
      <w:r>
        <w:t>Ответственные: высшие должностные лица субъектов Российской Федерации.</w:t>
      </w:r>
    </w:p>
    <w:p w:rsidR="00411A52" w:rsidRDefault="00411A52">
      <w:pPr>
        <w:pStyle w:val="ConsPlusNormal"/>
        <w:jc w:val="both"/>
      </w:pPr>
    </w:p>
    <w:p w:rsidR="00411A52" w:rsidRDefault="00411A52">
      <w:pPr>
        <w:pStyle w:val="ConsPlusNormal"/>
        <w:jc w:val="both"/>
      </w:pPr>
    </w:p>
    <w:p w:rsidR="00411A52" w:rsidRDefault="00411A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D07" w:rsidRDefault="004B3D07"/>
    <w:sectPr w:rsidR="004B3D07" w:rsidSect="004E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1A52"/>
    <w:rsid w:val="00010A9A"/>
    <w:rsid w:val="002A13B1"/>
    <w:rsid w:val="00411A52"/>
    <w:rsid w:val="004B3D07"/>
    <w:rsid w:val="00F8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1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1A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B36920E745B49EFCD206C804AF90FC978F980837628CFE2540F9976BA684B2CED818EE8B8C60F17C5B61F65m9e4G" TargetMode="External"/><Relationship Id="rId5" Type="http://schemas.openxmlformats.org/officeDocument/2006/relationships/hyperlink" Target="consultantplus://offline/ref=561B36920E745B49EFCD206C804AF90FC971F487877F28CFE2540F9976BA684B2CED818EE8B8C60F17C5B61F65m9e4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1962</Words>
  <Characters>11188</Characters>
  <Application>Microsoft Office Word</Application>
  <DocSecurity>0</DocSecurity>
  <Lines>93</Lines>
  <Paragraphs>26</Paragraphs>
  <ScaleCrop>false</ScaleCrop>
  <Company/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Point-37</dc:creator>
  <cp:lastModifiedBy>Point-37</cp:lastModifiedBy>
  <cp:revision>1</cp:revision>
  <cp:lastPrinted>2022-12-16T06:30:00Z</cp:lastPrinted>
  <dcterms:created xsi:type="dcterms:W3CDTF">2022-12-16T06:30:00Z</dcterms:created>
  <dcterms:modified xsi:type="dcterms:W3CDTF">2022-12-16T06:34:00Z</dcterms:modified>
</cp:coreProperties>
</file>